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4F8A2CD8" w:rsidR="00FD74A1" w:rsidRPr="00E67406" w:rsidRDefault="003C3252" w:rsidP="00471878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E67406">
        <w:rPr>
          <w:rFonts w:ascii="Times New Roman" w:hAnsi="Times New Roman" w:cs="Times New Roman"/>
          <w:color w:val="auto"/>
        </w:rPr>
        <w:t xml:space="preserve"> Łódź, dnia </w:t>
      </w:r>
      <w:r w:rsidR="00CD15CB">
        <w:rPr>
          <w:rFonts w:ascii="Times New Roman" w:hAnsi="Times New Roman" w:cs="Times New Roman"/>
          <w:color w:val="auto"/>
        </w:rPr>
        <w:t>25.11</w:t>
      </w:r>
      <w:r w:rsidRPr="00E67406">
        <w:rPr>
          <w:rFonts w:ascii="Times New Roman" w:hAnsi="Times New Roman" w:cs="Times New Roman"/>
          <w:color w:val="auto"/>
        </w:rPr>
        <w:t>.2022</w:t>
      </w:r>
    </w:p>
    <w:p w14:paraId="6E3F694A" w14:textId="77777777" w:rsidR="0060635B" w:rsidRPr="00E67406" w:rsidRDefault="0060635B" w:rsidP="00471878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0C39A18C" w14:textId="6ABC8A77" w:rsidR="00156211" w:rsidRPr="00E67406" w:rsidRDefault="006B2A74" w:rsidP="00471878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  <w:r w:rsidRPr="00E67406">
        <w:rPr>
          <w:rFonts w:ascii="Times New Roman" w:eastAsiaTheme="majorEastAsia" w:hAnsi="Times New Roman" w:cs="Times New Roman"/>
          <w:color w:val="auto"/>
        </w:rPr>
        <w:t>Oznaczenie sprawy</w:t>
      </w:r>
      <w:r w:rsidRPr="00E67406">
        <w:rPr>
          <w:rFonts w:ascii="Times New Roman" w:hAnsi="Times New Roman" w:cs="Times New Roman"/>
          <w:color w:val="auto"/>
        </w:rPr>
        <w:t>1/</w:t>
      </w:r>
      <w:r w:rsidR="00F216E0" w:rsidRPr="00E67406">
        <w:rPr>
          <w:rFonts w:ascii="Times New Roman" w:hAnsi="Times New Roman" w:cs="Times New Roman"/>
          <w:color w:val="auto"/>
        </w:rPr>
        <w:t>AS</w:t>
      </w:r>
      <w:r w:rsidRPr="00E67406">
        <w:rPr>
          <w:rFonts w:ascii="Times New Roman" w:hAnsi="Times New Roman" w:cs="Times New Roman"/>
          <w:color w:val="auto"/>
        </w:rPr>
        <w:t>/2022</w:t>
      </w:r>
    </w:p>
    <w:p w14:paraId="39A096BF" w14:textId="77777777" w:rsidR="0060635B" w:rsidRPr="00E67406" w:rsidRDefault="0060635B" w:rsidP="00471878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</w:p>
    <w:p w14:paraId="461A79FB" w14:textId="4B61374B" w:rsidR="00083D88" w:rsidRPr="00E67406" w:rsidRDefault="00156211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E67406">
        <w:rPr>
          <w:lang w:eastAsia="pl-PL"/>
        </w:rPr>
        <w:t xml:space="preserve"> </w:t>
      </w:r>
      <w:r w:rsidR="00A20EAE" w:rsidRPr="00E67406">
        <w:rPr>
          <w:b/>
          <w:bCs/>
          <w:lang w:eastAsia="pl-PL"/>
        </w:rPr>
        <w:t>WYKONAWCY biorący udział w zamówieniu</w:t>
      </w:r>
    </w:p>
    <w:p w14:paraId="565DFB5B" w14:textId="77777777" w:rsidR="0060635B" w:rsidRPr="00E67406" w:rsidRDefault="0060635B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</w:pPr>
    </w:p>
    <w:p w14:paraId="008B5091" w14:textId="50037EA7" w:rsidR="006B2A74" w:rsidRPr="00E67406" w:rsidRDefault="003C3252" w:rsidP="00471878">
      <w:pPr>
        <w:keepNext/>
        <w:keepLines/>
        <w:spacing w:line="360" w:lineRule="auto"/>
        <w:jc w:val="both"/>
      </w:pPr>
      <w:bookmarkStart w:id="0" w:name="_Hlk71491663"/>
      <w:r w:rsidRPr="00E67406">
        <w:t xml:space="preserve">Nazwa: </w:t>
      </w:r>
      <w:r w:rsidR="006B2A74" w:rsidRPr="00E67406">
        <w:t>Dostawa sprzętu IT w ramach projektu: „</w:t>
      </w:r>
      <w:r w:rsidR="00F216E0" w:rsidRPr="00E67406">
        <w:t>Akademia sukcesu</w:t>
      </w:r>
      <w:r w:rsidR="006B2A74" w:rsidRPr="00E67406">
        <w:t>” współfinansowanego przez Unię Europejską ze środków Europejskiego Funduszu Społecznego w ramach Regionalnego Programu Operacyjnego Województwa Łódzkiego na lata 2014-2020</w:t>
      </w:r>
    </w:p>
    <w:p w14:paraId="16F72FC7" w14:textId="77777777" w:rsidR="00C03D91" w:rsidRPr="00E67406" w:rsidRDefault="00C03D91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3A643DFD" w14:textId="22C3BFDD" w:rsidR="00FF2D2B" w:rsidRPr="00E67406" w:rsidRDefault="00471878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</w:pPr>
      <w:r w:rsidRPr="00E67406">
        <w:t xml:space="preserve">Zamawiający informuje, że </w:t>
      </w:r>
      <w:r w:rsidR="00C03D91" w:rsidRPr="00E67406">
        <w:t>n</w:t>
      </w:r>
      <w:r w:rsidR="00FF2D2B" w:rsidRPr="00E67406">
        <w:rPr>
          <w:bCs/>
        </w:rPr>
        <w:t>a</w:t>
      </w:r>
      <w:r w:rsidR="00FF2D2B" w:rsidRPr="00E67406">
        <w:t xml:space="preserve"> podstawie art. 253 ust. 2 ustawy z dnia 11 września 2019 r. Prawo zamówień publicznych, zwanej dalej „Ustawą”, na podstawie kryteriów oceny ofert określonych w SWZ w przedmiotowym postępowaniu jako najkorzystniejsza wybrana została oferta:</w:t>
      </w:r>
    </w:p>
    <w:p w14:paraId="344ED00C" w14:textId="77777777" w:rsidR="00471878" w:rsidRPr="00E67406" w:rsidRDefault="00471878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</w:pPr>
    </w:p>
    <w:p w14:paraId="1345E545" w14:textId="77777777" w:rsidR="00471878" w:rsidRPr="00E67406" w:rsidRDefault="00471878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E67406">
        <w:rPr>
          <w:lang w:eastAsia="pl-PL"/>
        </w:rPr>
        <w:t>ALLTECH S.J ZDZISŁAW PAJĄK, ARTUR PAJĄK</w:t>
      </w:r>
    </w:p>
    <w:p w14:paraId="31FDF139" w14:textId="0099780A" w:rsidR="00471878" w:rsidRPr="00E67406" w:rsidRDefault="00471878" w:rsidP="00471878">
      <w:pPr>
        <w:keepNext/>
        <w:keepLines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E67406">
        <w:rPr>
          <w:lang w:eastAsia="pl-PL"/>
        </w:rPr>
        <w:t xml:space="preserve">ul. Spółdzielcza 33, 09-407 Płock, NIP: 7740013894, </w:t>
      </w:r>
      <w:r w:rsidR="00F216E0" w:rsidRPr="00E67406">
        <w:rPr>
          <w:lang w:eastAsia="pl-PL"/>
        </w:rPr>
        <w:t>mały pr</w:t>
      </w:r>
      <w:r w:rsidR="00C32130" w:rsidRPr="00E67406">
        <w:rPr>
          <w:lang w:eastAsia="pl-PL"/>
        </w:rPr>
        <w:t>z</w:t>
      </w:r>
      <w:r w:rsidR="00F216E0" w:rsidRPr="00E67406">
        <w:rPr>
          <w:lang w:eastAsia="pl-PL"/>
        </w:rPr>
        <w:t>edsiębiorca</w:t>
      </w:r>
      <w:r w:rsidRPr="00E67406">
        <w:rPr>
          <w:lang w:eastAsia="pl-PL"/>
        </w:rPr>
        <w:t xml:space="preserve"> </w:t>
      </w:r>
    </w:p>
    <w:p w14:paraId="4E55CBA2" w14:textId="170CB4E0" w:rsidR="00C82375" w:rsidRPr="00E67406" w:rsidRDefault="00471878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67406">
        <w:t xml:space="preserve">Cena: </w:t>
      </w:r>
      <w:r w:rsidR="00C32130" w:rsidRPr="00E67406">
        <w:t xml:space="preserve">131.395,98 </w:t>
      </w:r>
      <w:r w:rsidRPr="00E67406">
        <w:t xml:space="preserve">zł, </w:t>
      </w:r>
      <w:bookmarkStart w:id="1" w:name="_Hlk109995868"/>
      <w:r w:rsidRPr="00E67406">
        <w:t>przedłużenie okr</w:t>
      </w:r>
      <w:r w:rsidR="00CD15CB">
        <w:t>esu</w:t>
      </w:r>
      <w:r w:rsidRPr="00E67406">
        <w:t xml:space="preserve"> gwarancji i rękojmi dodatkowo  o 24 </w:t>
      </w:r>
      <w:proofErr w:type="spellStart"/>
      <w:r w:rsidRPr="00E67406">
        <w:t>mce</w:t>
      </w:r>
      <w:proofErr w:type="spellEnd"/>
      <w:r w:rsidRPr="00E67406">
        <w:t xml:space="preserve"> </w:t>
      </w:r>
      <w:bookmarkEnd w:id="1"/>
    </w:p>
    <w:p w14:paraId="2DD2E72F" w14:textId="77777777" w:rsidR="00FF2D2B" w:rsidRPr="00E67406" w:rsidRDefault="00FF2D2B" w:rsidP="00471878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EFBC50D" w14:textId="77777777" w:rsidR="00FF2D2B" w:rsidRPr="00E67406" w:rsidRDefault="00FF2D2B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67406">
        <w:t>Uzasadnienie wyboru:</w:t>
      </w:r>
    </w:p>
    <w:p w14:paraId="56067DDA" w14:textId="45CC07C2" w:rsidR="004924EE" w:rsidRPr="00E67406" w:rsidRDefault="00FF2D2B" w:rsidP="00471878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E67406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  <w:r w:rsidR="004924EE" w:rsidRPr="00E67406">
        <w:t xml:space="preserve"> oraz na podstawie art. 7 ust. 1 ustawy z dnia 13 kwietnia 2022 r. o szczególnych rozwiązaniach w zakresie przeciwdziałania wspieraniu agresji na Ukrainę oraz służących ochronie bezpieczeństwa narodowego (Dz. U. poz. 835).</w:t>
      </w:r>
    </w:p>
    <w:p w14:paraId="3DBE9374" w14:textId="0267E5B1" w:rsidR="00FF2D2B" w:rsidRPr="00E67406" w:rsidRDefault="00FF2D2B" w:rsidP="00471878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E67406">
        <w:t>Zaoferowany sprzęt  spełnia wymagania  postawione przez Zamawiającego (warunek przedmiotowy)</w:t>
      </w:r>
      <w:r w:rsidR="004924EE" w:rsidRPr="00E67406">
        <w:t>, co Zamawiający ocenił na podstawie złożonych przedmiotowych środków dowodowych, o jakich  mowa  w ar</w:t>
      </w:r>
      <w:r w:rsidR="00D87BB4" w:rsidRPr="00E67406">
        <w:t>t</w:t>
      </w:r>
      <w:r w:rsidR="004924EE" w:rsidRPr="00E67406">
        <w:t xml:space="preserve">. 106 </w:t>
      </w:r>
      <w:proofErr w:type="spellStart"/>
      <w:r w:rsidR="004924EE" w:rsidRPr="00E67406">
        <w:t>pzp</w:t>
      </w:r>
      <w:proofErr w:type="spellEnd"/>
      <w:r w:rsidR="00D87BB4" w:rsidRPr="00E67406">
        <w:t xml:space="preserve"> ( rozdział III pkt 4 SWZ)</w:t>
      </w:r>
      <w:r w:rsidR="004924EE" w:rsidRPr="00E67406">
        <w:t>;</w:t>
      </w:r>
    </w:p>
    <w:p w14:paraId="7FB7A19C" w14:textId="7A441D9C" w:rsidR="00471878" w:rsidRPr="00E67406" w:rsidRDefault="00FF2D2B" w:rsidP="00E759D0">
      <w:pPr>
        <w:pStyle w:val="Akapitzlist"/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E67406">
        <w:t xml:space="preserve">oferta </w:t>
      </w:r>
      <w:r w:rsidR="00471878" w:rsidRPr="00E67406">
        <w:rPr>
          <w:lang w:val="pl-PL"/>
        </w:rPr>
        <w:t xml:space="preserve">wykonawcy ALLTECH sp. j. Z. Pająk, A. Pająk </w:t>
      </w:r>
      <w:r w:rsidRPr="00E67406">
        <w:t xml:space="preserve">została oceniona jako najkorzystniejsza na podstawie przyjętych w SWZ kryteriów oceny ofert. </w:t>
      </w:r>
      <w:r w:rsidR="00471878" w:rsidRPr="00E67406">
        <w:rPr>
          <w:lang w:val="pl-PL"/>
        </w:rPr>
        <w:t xml:space="preserve"> </w:t>
      </w:r>
    </w:p>
    <w:p w14:paraId="0A42FF32" w14:textId="77777777" w:rsidR="00A4746B" w:rsidRPr="00E67406" w:rsidRDefault="00A4746B" w:rsidP="00471878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</w:pPr>
    </w:p>
    <w:p w14:paraId="624B6334" w14:textId="1AF21E0F" w:rsidR="00FF2D2B" w:rsidRPr="00E67406" w:rsidRDefault="00FF2D2B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67406">
        <w:t xml:space="preserve">Wybrana oferta jw. otrzymała: </w:t>
      </w:r>
      <w:r w:rsidR="00E67406">
        <w:t>100</w:t>
      </w:r>
      <w:r w:rsidRPr="00E67406">
        <w:t xml:space="preserve"> punktów w zakresie kryterium „Cena” = 60,00% oraz 40,00 punktów w kryterium „Przedłużenie okresu  gwarancji i rękojmi” = 40,00%, co łącznie dało </w:t>
      </w:r>
      <w:r w:rsidR="00E67406">
        <w:t>100</w:t>
      </w:r>
      <w:r w:rsidRPr="00E67406">
        <w:t xml:space="preserve"> punktów</w:t>
      </w:r>
      <w:r w:rsidR="0035174D" w:rsidRPr="00E67406">
        <w:t>.</w:t>
      </w:r>
    </w:p>
    <w:p w14:paraId="47A05E1B" w14:textId="6E471C34" w:rsidR="00E759D0" w:rsidRPr="00E67406" w:rsidRDefault="00E759D0" w:rsidP="00471878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3911F465" w14:textId="554D4873" w:rsidR="00E759D0" w:rsidRPr="00E67406" w:rsidRDefault="00E759D0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67406">
        <w:t>Zamawiający odrzucił n/w oferty:</w:t>
      </w:r>
    </w:p>
    <w:p w14:paraId="7913B1DF" w14:textId="77777777" w:rsidR="00111358" w:rsidRPr="00E67406" w:rsidRDefault="000B393F" w:rsidP="000B393F">
      <w:pPr>
        <w:pStyle w:val="Akapitzlist"/>
        <w:keepNext/>
        <w:keepLines/>
        <w:widowControl w:val="0"/>
        <w:numPr>
          <w:ilvl w:val="0"/>
          <w:numId w:val="17"/>
        </w:numPr>
        <w:spacing w:line="360" w:lineRule="auto"/>
        <w:ind w:right="70"/>
        <w:contextualSpacing/>
      </w:pPr>
      <w:r w:rsidRPr="00E67406">
        <w:rPr>
          <w:sz w:val="23"/>
          <w:szCs w:val="23"/>
          <w:lang w:eastAsia="pl-PL"/>
        </w:rPr>
        <w:t xml:space="preserve">CEZAR Cezary </w:t>
      </w:r>
      <w:proofErr w:type="spellStart"/>
      <w:r w:rsidRPr="00E67406">
        <w:rPr>
          <w:sz w:val="23"/>
          <w:szCs w:val="23"/>
          <w:lang w:eastAsia="pl-PL"/>
        </w:rPr>
        <w:t>Machnio</w:t>
      </w:r>
      <w:proofErr w:type="spellEnd"/>
      <w:r w:rsidRPr="00E67406">
        <w:rPr>
          <w:sz w:val="23"/>
          <w:szCs w:val="23"/>
          <w:lang w:eastAsia="pl-PL"/>
        </w:rPr>
        <w:t xml:space="preserve"> i Piotr Gębka Sp. z o.o.</w:t>
      </w:r>
      <w:r w:rsidRPr="00E67406">
        <w:rPr>
          <w:sz w:val="23"/>
          <w:szCs w:val="23"/>
          <w:lang w:val="pl-PL" w:eastAsia="pl-PL"/>
        </w:rPr>
        <w:t xml:space="preserve"> - </w:t>
      </w:r>
      <w:r w:rsidRPr="00E67406">
        <w:rPr>
          <w:lang w:val="pl-PL"/>
        </w:rPr>
        <w:t>na podstawie art. 226 ust. 1 pkt 5 Ustawy z dnia 11 września 2019 r. prawo  zamówień publicznych  - jej treść jest niezgodna z warunkami zamówienia.</w:t>
      </w:r>
    </w:p>
    <w:p w14:paraId="10E1384D" w14:textId="795C92D7" w:rsidR="00E759D0" w:rsidRDefault="00111358" w:rsidP="00111358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 w:rsidRPr="00E67406">
        <w:rPr>
          <w:sz w:val="23"/>
          <w:szCs w:val="23"/>
          <w:lang w:val="pl-PL" w:eastAsia="pl-PL"/>
        </w:rPr>
        <w:t xml:space="preserve">Wykonawca </w:t>
      </w:r>
      <w:r w:rsidR="00AF329D" w:rsidRPr="00E67406">
        <w:rPr>
          <w:sz w:val="23"/>
          <w:szCs w:val="23"/>
          <w:lang w:val="pl-PL" w:eastAsia="pl-PL"/>
        </w:rPr>
        <w:t xml:space="preserve">wraz z ofertą </w:t>
      </w:r>
      <w:r w:rsidRPr="00E67406">
        <w:rPr>
          <w:sz w:val="23"/>
          <w:szCs w:val="23"/>
          <w:lang w:val="pl-PL" w:eastAsia="pl-PL"/>
        </w:rPr>
        <w:t>złożył zgodnie  z postanowieniami SWZ</w:t>
      </w:r>
      <w:r w:rsidR="00E67406">
        <w:rPr>
          <w:sz w:val="23"/>
          <w:szCs w:val="23"/>
          <w:lang w:val="pl-PL" w:eastAsia="pl-PL"/>
        </w:rPr>
        <w:t xml:space="preserve"> ( Rozdział III pkt 4) </w:t>
      </w:r>
      <w:r w:rsidRPr="00E67406">
        <w:rPr>
          <w:sz w:val="23"/>
          <w:szCs w:val="23"/>
          <w:lang w:val="pl-PL" w:eastAsia="pl-PL"/>
        </w:rPr>
        <w:t>-</w:t>
      </w:r>
      <w:r w:rsidRPr="00E67406">
        <w:rPr>
          <w:lang w:val="pl-PL"/>
        </w:rPr>
        <w:t xml:space="preserve"> przedmiotowe środki dowodowe, na podstawie których</w:t>
      </w:r>
      <w:r w:rsidR="00E67406">
        <w:rPr>
          <w:lang w:val="pl-PL"/>
        </w:rPr>
        <w:t xml:space="preserve"> Zamawiający</w:t>
      </w:r>
      <w:r w:rsidRPr="00E67406">
        <w:rPr>
          <w:lang w:val="pl-PL"/>
        </w:rPr>
        <w:t xml:space="preserve"> oceniał czy zaoferowany asortyment spełnia wymagania Zamawiającego szczegółowo wymienione w  Opisie Przedmiotu Zamówienia. Na podstawie przedmiotowych środków dowodowych Zamawiający ustalił, że Wykonawca  zaoferował artkuł nr 5  -</w:t>
      </w:r>
      <w:r w:rsidR="00E67406">
        <w:rPr>
          <w:lang w:val="pl-PL"/>
        </w:rPr>
        <w:t xml:space="preserve"> tj.</w:t>
      </w:r>
      <w:r w:rsidRPr="00E67406">
        <w:rPr>
          <w:lang w:val="pl-PL"/>
        </w:rPr>
        <w:t xml:space="preserve"> oprogramowanie do efektywnego zarządzania  transportem  - niezgodny  z wymaganiami Zamawiającego. Zamawiający zmienił wymagania w  zakresie artykuł</w:t>
      </w:r>
      <w:r w:rsidR="00E67406">
        <w:rPr>
          <w:lang w:val="pl-PL"/>
        </w:rPr>
        <w:t>u</w:t>
      </w:r>
      <w:r w:rsidRPr="00E67406">
        <w:rPr>
          <w:lang w:val="pl-PL"/>
        </w:rPr>
        <w:t xml:space="preserve"> 5  i  zmiana ta  została opublikowana w  BIP w dniu 27.10.2022 r. Wykonawca złożył natomiast przedmiotowy środek  dowodowy </w:t>
      </w:r>
      <w:r w:rsidR="00E67406">
        <w:rPr>
          <w:lang w:val="pl-PL"/>
        </w:rPr>
        <w:t xml:space="preserve">dla </w:t>
      </w:r>
      <w:r w:rsidR="00AF329D" w:rsidRPr="00E67406">
        <w:rPr>
          <w:lang w:val="pl-PL"/>
        </w:rPr>
        <w:t>a</w:t>
      </w:r>
      <w:r w:rsidRPr="00E67406">
        <w:rPr>
          <w:lang w:val="pl-PL"/>
        </w:rPr>
        <w:t xml:space="preserve">rtykułu 5  wg </w:t>
      </w:r>
      <w:r w:rsidR="00AF329D" w:rsidRPr="00E67406">
        <w:rPr>
          <w:lang w:val="pl-PL"/>
        </w:rPr>
        <w:t xml:space="preserve">wymagań sprzed w/w daty. </w:t>
      </w:r>
    </w:p>
    <w:p w14:paraId="6F7A436E" w14:textId="45D19831" w:rsidR="00E67406" w:rsidRPr="00E67406" w:rsidRDefault="00E67406" w:rsidP="00111358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>
        <w:rPr>
          <w:lang w:val="pl-PL"/>
        </w:rPr>
        <w:t xml:space="preserve">Tym samym oferowanie  oprogramowania niezgodnego z  wymaganiami  Zamawiającego powoduje, że oferta jest niezgodna z warunkami zamówienia w  rozumieniu  art. 226 ust 1 pkt 5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</w:t>
      </w:r>
    </w:p>
    <w:p w14:paraId="22A8CF00" w14:textId="77777777" w:rsidR="00AF329D" w:rsidRPr="00E67406" w:rsidRDefault="00AF329D" w:rsidP="00111358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</w:p>
    <w:p w14:paraId="3C0716C7" w14:textId="77777777" w:rsidR="00E67406" w:rsidRPr="00E67406" w:rsidRDefault="00AF329D" w:rsidP="00E67406">
      <w:pPr>
        <w:pStyle w:val="Akapitzlist"/>
        <w:keepNext/>
        <w:keepLines/>
        <w:widowControl w:val="0"/>
        <w:numPr>
          <w:ilvl w:val="0"/>
          <w:numId w:val="17"/>
        </w:numPr>
        <w:spacing w:line="360" w:lineRule="auto"/>
        <w:ind w:right="70"/>
        <w:contextualSpacing/>
      </w:pPr>
      <w:r w:rsidRPr="00E67406">
        <w:rPr>
          <w:sz w:val="23"/>
          <w:szCs w:val="23"/>
          <w:lang w:eastAsia="pl-PL"/>
        </w:rPr>
        <w:t>Przedsiębiorstwo Optimus Sp. z o.o.</w:t>
      </w:r>
      <w:r w:rsidRPr="00E67406">
        <w:rPr>
          <w:sz w:val="23"/>
          <w:szCs w:val="23"/>
          <w:lang w:val="pl-PL" w:eastAsia="pl-PL"/>
        </w:rPr>
        <w:t xml:space="preserve">  - </w:t>
      </w:r>
      <w:r w:rsidRPr="00E67406">
        <w:rPr>
          <w:lang w:val="pl-PL"/>
        </w:rPr>
        <w:t>na podstawie art. 226 ust. 1 pkt 5 Ustawy z dnia 11 września 2019 r. prawo  zamówień publicznych  - jej treść jest niezgodna z warunkami zamówienia.</w:t>
      </w:r>
    </w:p>
    <w:p w14:paraId="12C98FFB" w14:textId="77777777" w:rsidR="00E67406" w:rsidRDefault="00E67406" w:rsidP="00E67406">
      <w:pPr>
        <w:pStyle w:val="Akapitzlist"/>
        <w:keepNext/>
        <w:keepLines/>
        <w:widowControl w:val="0"/>
        <w:spacing w:line="360" w:lineRule="auto"/>
        <w:ind w:left="720" w:right="70"/>
        <w:contextualSpacing/>
      </w:pPr>
      <w:r w:rsidRPr="00E67406">
        <w:rPr>
          <w:sz w:val="23"/>
          <w:szCs w:val="23"/>
          <w:lang w:eastAsia="pl-PL"/>
        </w:rPr>
        <w:t>Wykonawca wraz z ofertą złożył zgodnie  z postanowieniami SWZ ( Rozdział III pkt 4) -</w:t>
      </w:r>
      <w:r w:rsidRPr="00E67406">
        <w:t xml:space="preserve"> przedmiotowe środki dowodowe, na podstawie których Zamawiający oceniał czy zaoferowany asortyment spełnia wymagania Zamawiającego szczegółowo wymienione w  Opisie Przedmiotu Zamówienia. </w:t>
      </w:r>
    </w:p>
    <w:p w14:paraId="391EBE6C" w14:textId="7701954D" w:rsidR="00E67406" w:rsidRPr="00E67406" w:rsidRDefault="00E67406" w:rsidP="00E67406">
      <w:pPr>
        <w:pStyle w:val="Akapitzlist"/>
        <w:keepNext/>
        <w:keepLines/>
        <w:widowControl w:val="0"/>
        <w:spacing w:line="360" w:lineRule="auto"/>
        <w:ind w:left="720" w:right="70"/>
        <w:contextualSpacing/>
      </w:pPr>
      <w:r w:rsidRPr="00E67406">
        <w:lastRenderedPageBreak/>
        <w:t xml:space="preserve">Na podstawie przedmiotowych środków dowodowych Zamawiający ustalił, że Wykonawca  zaoferował artkuł nr 5  - tj. oprogramowanie do efektywnego zarządzania  transportem  - niezgodny  z wymaganiami Zamawiającego. Zamawiający zmienił wymagania w  zakresie artykułu 5  i  zmiana ta  została opublikowana w  BIP w dniu 27.10.2022 r. Wykonawca złożył natomiast przedmiotowy środek  dowodowy dla artykułu 5  wg wymagań sprzed w/w daty. </w:t>
      </w:r>
    </w:p>
    <w:p w14:paraId="6B7C033B" w14:textId="77777777" w:rsidR="00E67406" w:rsidRPr="00E67406" w:rsidRDefault="00E67406" w:rsidP="00E67406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>
        <w:rPr>
          <w:lang w:val="pl-PL"/>
        </w:rPr>
        <w:t xml:space="preserve">Tym samym oferowanie  oprogramowania niezgodnego z  wymaganiami  Zamawiającego powoduje, że oferta jest niezgodna z warunkami zamówienia w  rozumieniu  art. 226 ust 1 pkt 5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</w:t>
      </w:r>
    </w:p>
    <w:p w14:paraId="6E0042EC" w14:textId="49649F72" w:rsidR="00AF329D" w:rsidRPr="00E67406" w:rsidRDefault="00AF329D" w:rsidP="00A43C55">
      <w:pPr>
        <w:pStyle w:val="Akapitzlist"/>
        <w:keepNext/>
        <w:keepLines/>
        <w:widowControl w:val="0"/>
        <w:numPr>
          <w:ilvl w:val="0"/>
          <w:numId w:val="17"/>
        </w:numPr>
        <w:spacing w:line="360" w:lineRule="auto"/>
        <w:ind w:right="70"/>
        <w:contextualSpacing/>
        <w:rPr>
          <w:lang w:val="pl-PL"/>
        </w:rPr>
      </w:pPr>
      <w:r w:rsidRPr="00E67406">
        <w:rPr>
          <w:lang w:val="pl-PL"/>
        </w:rPr>
        <w:t xml:space="preserve">WEB PROFIT Maciej </w:t>
      </w:r>
      <w:proofErr w:type="spellStart"/>
      <w:r w:rsidRPr="00E67406">
        <w:rPr>
          <w:lang w:val="pl-PL"/>
        </w:rPr>
        <w:t>Kuźlik</w:t>
      </w:r>
      <w:proofErr w:type="spellEnd"/>
      <w:r w:rsidRPr="00E67406">
        <w:rPr>
          <w:lang w:val="pl-PL"/>
        </w:rPr>
        <w:t xml:space="preserve"> - </w:t>
      </w:r>
      <w:r w:rsidRPr="00E67406">
        <w:rPr>
          <w:lang w:val="pl-PL"/>
        </w:rPr>
        <w:t xml:space="preserve">na podstawie </w:t>
      </w:r>
      <w:r w:rsidR="00E67406" w:rsidRPr="00E67406">
        <w:rPr>
          <w:lang w:val="pl-PL"/>
        </w:rPr>
        <w:t>art. 226 ust. 1 pkt 2 lit c)  Ustawy z dnia 11 września 2019 r. prawo  zamówień publicznych   - oferta została złożona przez wykonawcę, który nie złożył (…) przedmiotowego środka  dowodowego, do złożenia  którego  był  zobowiązany na podstawie Rozdziału III pkt 4 SWZ.</w:t>
      </w:r>
      <w:r w:rsidR="00E67406">
        <w:rPr>
          <w:lang w:val="pl-PL"/>
        </w:rPr>
        <w:t xml:space="preserve"> </w:t>
      </w:r>
      <w:r w:rsidRPr="00E67406">
        <w:rPr>
          <w:sz w:val="23"/>
          <w:szCs w:val="23"/>
          <w:lang w:val="pl-PL" w:eastAsia="pl-PL"/>
        </w:rPr>
        <w:t xml:space="preserve">Wykonawca </w:t>
      </w:r>
      <w:r w:rsidRPr="00E67406">
        <w:rPr>
          <w:sz w:val="23"/>
          <w:szCs w:val="23"/>
          <w:lang w:val="pl-PL" w:eastAsia="pl-PL"/>
        </w:rPr>
        <w:t>nie  złożył wraz z ofertą (</w:t>
      </w:r>
      <w:r w:rsidRPr="00E67406">
        <w:rPr>
          <w:sz w:val="23"/>
          <w:szCs w:val="23"/>
          <w:lang w:val="pl-PL" w:eastAsia="pl-PL"/>
        </w:rPr>
        <w:t>zgodnie  z postanowieniami SW</w:t>
      </w:r>
      <w:r w:rsidRPr="00E67406">
        <w:rPr>
          <w:sz w:val="23"/>
          <w:szCs w:val="23"/>
          <w:lang w:val="pl-PL" w:eastAsia="pl-PL"/>
        </w:rPr>
        <w:t>Z)</w:t>
      </w:r>
      <w:r w:rsidRPr="00E67406">
        <w:rPr>
          <w:lang w:val="pl-PL"/>
        </w:rPr>
        <w:t xml:space="preserve"> przedmiotow</w:t>
      </w:r>
      <w:r w:rsidRPr="00E67406">
        <w:rPr>
          <w:lang w:val="pl-PL"/>
        </w:rPr>
        <w:t xml:space="preserve">ych </w:t>
      </w:r>
      <w:r w:rsidRPr="00E67406">
        <w:rPr>
          <w:lang w:val="pl-PL"/>
        </w:rPr>
        <w:t>środk</w:t>
      </w:r>
      <w:r w:rsidRPr="00E67406">
        <w:rPr>
          <w:lang w:val="pl-PL"/>
        </w:rPr>
        <w:t>ów</w:t>
      </w:r>
      <w:r w:rsidRPr="00E67406">
        <w:rPr>
          <w:lang w:val="pl-PL"/>
        </w:rPr>
        <w:t xml:space="preserve"> dowodow</w:t>
      </w:r>
      <w:r w:rsidRPr="00E67406">
        <w:rPr>
          <w:lang w:val="pl-PL"/>
        </w:rPr>
        <w:t>ych</w:t>
      </w:r>
      <w:r w:rsidRPr="00E67406">
        <w:rPr>
          <w:lang w:val="pl-PL"/>
        </w:rPr>
        <w:t xml:space="preserve">, na podstawie których </w:t>
      </w:r>
      <w:r w:rsidRPr="00E67406">
        <w:rPr>
          <w:lang w:val="pl-PL"/>
        </w:rPr>
        <w:t xml:space="preserve">Zamawiający </w:t>
      </w:r>
      <w:r w:rsidRPr="00E67406">
        <w:rPr>
          <w:lang w:val="pl-PL"/>
        </w:rPr>
        <w:t xml:space="preserve">ocenia czy zaoferowany asortyment spełnia wymagania Zamawiającego szczegółowo wymienione w  Opisie Przedmiotu Zamówienia. </w:t>
      </w:r>
      <w:r w:rsidRPr="00E67406">
        <w:rPr>
          <w:lang w:val="pl-PL"/>
        </w:rPr>
        <w:t xml:space="preserve">Zamawiający wezwał wykonawcę  do złożenia w/w środków dowodowych, które  zostały przez wykonawcę  złożone we wskazanym terminie. </w:t>
      </w:r>
    </w:p>
    <w:p w14:paraId="5995E40A" w14:textId="77777777" w:rsidR="007E3B7E" w:rsidRDefault="00AF329D" w:rsidP="007E3B7E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 w:rsidRPr="00E67406">
        <w:rPr>
          <w:lang w:val="pl-PL"/>
        </w:rPr>
        <w:t xml:space="preserve">Przedmiotowe środki  dowodowe były jednak  niekompletne -  tj. wykonawca nie  złożył przedmiotowych środków dowodowych dla </w:t>
      </w:r>
      <w:r w:rsidRPr="00E67406">
        <w:rPr>
          <w:lang w:val="pl-PL"/>
        </w:rPr>
        <w:t>artkuł</w:t>
      </w:r>
      <w:r w:rsidRPr="00E67406">
        <w:rPr>
          <w:lang w:val="pl-PL"/>
        </w:rPr>
        <w:t>u</w:t>
      </w:r>
      <w:r w:rsidRPr="00E67406">
        <w:rPr>
          <w:lang w:val="pl-PL"/>
        </w:rPr>
        <w:t xml:space="preserve"> nr 5  - oprogramowani</w:t>
      </w:r>
      <w:r w:rsidRPr="00E67406">
        <w:rPr>
          <w:lang w:val="pl-PL"/>
        </w:rPr>
        <w:t>a</w:t>
      </w:r>
      <w:r w:rsidRPr="00E67406">
        <w:rPr>
          <w:lang w:val="pl-PL"/>
        </w:rPr>
        <w:t xml:space="preserve"> do efektywnego zarządzania  transportem</w:t>
      </w:r>
      <w:r w:rsidRPr="00E67406">
        <w:rPr>
          <w:lang w:val="pl-PL"/>
        </w:rPr>
        <w:t>.</w:t>
      </w:r>
      <w:r w:rsidRPr="00E67406">
        <w:rPr>
          <w:lang w:val="pl-PL"/>
        </w:rPr>
        <w:t xml:space="preserve">  </w:t>
      </w:r>
      <w:r w:rsidRPr="00E67406">
        <w:rPr>
          <w:lang w:val="pl-PL"/>
        </w:rPr>
        <w:t>Zamawiający nie może  wzywać po raz kolejny (do skutku) wykonawcę do  złożenia przedmiotowych środków dowodowych</w:t>
      </w:r>
      <w:r w:rsidR="002A46A1">
        <w:rPr>
          <w:lang w:val="pl-PL"/>
        </w:rPr>
        <w:t>.</w:t>
      </w:r>
      <w:r w:rsidR="007E3B7E">
        <w:rPr>
          <w:lang w:val="pl-PL"/>
        </w:rPr>
        <w:t xml:space="preserve"> </w:t>
      </w:r>
      <w:r w:rsidR="00CD15CB">
        <w:rPr>
          <w:lang w:val="pl-PL"/>
        </w:rPr>
        <w:t xml:space="preserve">Dodatkowo </w:t>
      </w:r>
      <w:r w:rsidR="007E3B7E">
        <w:rPr>
          <w:lang w:val="pl-PL"/>
        </w:rPr>
        <w:t xml:space="preserve">Zamawiający ustalił na podstawie  przekazanych przedmiotowych środków dowodowych, że </w:t>
      </w:r>
      <w:r w:rsidR="00CD15CB">
        <w:rPr>
          <w:lang w:val="pl-PL"/>
        </w:rPr>
        <w:t>Wykonawca</w:t>
      </w:r>
      <w:r w:rsidR="00CD15CB" w:rsidRPr="007E3B7E">
        <w:rPr>
          <w:lang w:val="pl-PL"/>
        </w:rPr>
        <w:t> </w:t>
      </w:r>
      <w:r w:rsidR="00CD15CB" w:rsidRPr="007E3B7E">
        <w:rPr>
          <w:lang w:val="pl-PL"/>
        </w:rPr>
        <w:t xml:space="preserve"> dla</w:t>
      </w:r>
      <w:r w:rsidR="007E3B7E" w:rsidRPr="007E3B7E">
        <w:rPr>
          <w:lang w:val="pl-PL"/>
        </w:rPr>
        <w:t>:</w:t>
      </w:r>
    </w:p>
    <w:p w14:paraId="1CCB650F" w14:textId="70E5D86F" w:rsidR="007E3B7E" w:rsidRPr="007E3B7E" w:rsidRDefault="007E3B7E" w:rsidP="007E3B7E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 w:rsidRPr="007E3B7E">
        <w:rPr>
          <w:lang w:val="pl-PL"/>
        </w:rPr>
        <w:t xml:space="preserve">- </w:t>
      </w:r>
      <w:r w:rsidR="00CD15CB" w:rsidRPr="007E3B7E">
        <w:rPr>
          <w:lang w:val="pl-PL"/>
        </w:rPr>
        <w:t>artykułu</w:t>
      </w:r>
      <w:r w:rsidR="00CD15CB" w:rsidRPr="007E3B7E">
        <w:rPr>
          <w:lang w:val="pl-PL"/>
        </w:rPr>
        <w:t xml:space="preserve"> 1 </w:t>
      </w:r>
      <w:r w:rsidR="00CD15CB" w:rsidRPr="007E3B7E">
        <w:rPr>
          <w:lang w:val="pl-PL"/>
        </w:rPr>
        <w:t>nie zaoferował</w:t>
      </w:r>
      <w:r w:rsidR="00CD15CB" w:rsidRPr="007E3B7E">
        <w:rPr>
          <w:lang w:val="pl-PL"/>
        </w:rPr>
        <w:t xml:space="preserve">  myszki, podkładki, torby</w:t>
      </w:r>
      <w:r w:rsidR="00CD15CB" w:rsidRPr="007E3B7E">
        <w:rPr>
          <w:lang w:val="pl-PL"/>
        </w:rPr>
        <w:t>,</w:t>
      </w:r>
    </w:p>
    <w:p w14:paraId="7D184CF0" w14:textId="0A942897" w:rsidR="007E3B7E" w:rsidRPr="007E3B7E" w:rsidRDefault="007E3B7E" w:rsidP="007E3B7E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 w:rsidRPr="007E3B7E">
        <w:rPr>
          <w:lang w:val="pl-PL"/>
        </w:rPr>
        <w:t>- artykułu 2 – nie poda</w:t>
      </w:r>
      <w:r>
        <w:rPr>
          <w:lang w:val="pl-PL"/>
        </w:rPr>
        <w:t>ł</w:t>
      </w:r>
      <w:r w:rsidRPr="007E3B7E">
        <w:rPr>
          <w:lang w:val="pl-PL"/>
        </w:rPr>
        <w:t xml:space="preserve"> wymiarów przechowywanego sprzętu (96 x340 x 470 mm)</w:t>
      </w:r>
    </w:p>
    <w:p w14:paraId="71908CA3" w14:textId="77777777" w:rsidR="007E3B7E" w:rsidRDefault="007E3B7E" w:rsidP="007E3B7E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 w:rsidRPr="007E3B7E">
        <w:rPr>
          <w:lang w:val="pl-PL"/>
        </w:rPr>
        <w:t xml:space="preserve">- artykułu 3 – nie </w:t>
      </w:r>
      <w:r>
        <w:rPr>
          <w:lang w:val="pl-PL"/>
        </w:rPr>
        <w:t>zaoferował</w:t>
      </w:r>
      <w:r w:rsidRPr="007E3B7E">
        <w:rPr>
          <w:lang w:val="pl-PL"/>
        </w:rPr>
        <w:t xml:space="preserve"> instrukcji obsługi</w:t>
      </w:r>
      <w:r>
        <w:rPr>
          <w:lang w:val="pl-PL"/>
        </w:rPr>
        <w:t xml:space="preserve"> oraz</w:t>
      </w:r>
      <w:r w:rsidRPr="007E3B7E">
        <w:rPr>
          <w:lang w:val="pl-PL"/>
        </w:rPr>
        <w:t xml:space="preserve"> kabla  </w:t>
      </w:r>
      <w:r>
        <w:rPr>
          <w:lang w:val="pl-PL"/>
        </w:rPr>
        <w:t>d</w:t>
      </w:r>
      <w:r w:rsidRPr="007E3B7E">
        <w:rPr>
          <w:lang w:val="pl-PL"/>
        </w:rPr>
        <w:t>i</w:t>
      </w:r>
      <w:r>
        <w:rPr>
          <w:lang w:val="pl-PL"/>
        </w:rPr>
        <w:t>s</w:t>
      </w:r>
      <w:r w:rsidRPr="007E3B7E">
        <w:rPr>
          <w:lang w:val="pl-PL"/>
        </w:rPr>
        <w:t>play port,</w:t>
      </w:r>
    </w:p>
    <w:p w14:paraId="59435BA6" w14:textId="58C6B134" w:rsidR="00CD15CB" w:rsidRPr="007E3B7E" w:rsidRDefault="00CD15CB" w:rsidP="007E3B7E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  <w:r w:rsidRPr="007E3B7E">
        <w:rPr>
          <w:lang w:val="pl-PL"/>
        </w:rPr>
        <w:t xml:space="preserve"> co stanowi o niezgodności </w:t>
      </w:r>
      <w:r w:rsidR="007E3B7E" w:rsidRPr="007E3B7E">
        <w:rPr>
          <w:lang w:val="pl-PL"/>
        </w:rPr>
        <w:t>oferowanego sprzętu z wymaganiami Zamawiającego.</w:t>
      </w:r>
    </w:p>
    <w:p w14:paraId="1FB4FC13" w14:textId="55F52B47" w:rsidR="00CD15CB" w:rsidRPr="00E67406" w:rsidRDefault="00CD15CB" w:rsidP="00AF329D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</w:p>
    <w:p w14:paraId="16D67710" w14:textId="0FEA6785" w:rsidR="00AF329D" w:rsidRPr="00E67406" w:rsidRDefault="00AF329D" w:rsidP="002A46A1">
      <w:pPr>
        <w:pStyle w:val="Akapitzlist"/>
        <w:keepNext/>
        <w:keepLines/>
        <w:widowControl w:val="0"/>
        <w:spacing w:line="360" w:lineRule="auto"/>
        <w:ind w:left="720" w:right="70"/>
        <w:contextualSpacing/>
        <w:rPr>
          <w:lang w:val="pl-PL"/>
        </w:rPr>
      </w:pPr>
    </w:p>
    <w:p w14:paraId="69C6A14A" w14:textId="640D9FBD" w:rsidR="00E759D0" w:rsidRPr="00E67406" w:rsidRDefault="00E759D0" w:rsidP="00471878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67406">
        <w:lastRenderedPageBreak/>
        <w:t>Zestawienie ofert:</w:t>
      </w:r>
    </w:p>
    <w:tbl>
      <w:tblPr>
        <w:tblStyle w:val="Tabela-Siatka"/>
        <w:tblpPr w:leftFromText="141" w:rightFromText="141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443"/>
        <w:gridCol w:w="2390"/>
        <w:gridCol w:w="1557"/>
        <w:gridCol w:w="989"/>
        <w:gridCol w:w="1465"/>
        <w:gridCol w:w="1236"/>
        <w:gridCol w:w="1236"/>
      </w:tblGrid>
      <w:tr w:rsidR="00E759D0" w:rsidRPr="007E3B7E" w14:paraId="740DF34D" w14:textId="77777777" w:rsidTr="00C06FDA">
        <w:tc>
          <w:tcPr>
            <w:tcW w:w="443" w:type="dxa"/>
          </w:tcPr>
          <w:p w14:paraId="54D705FB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2390" w:type="dxa"/>
          </w:tcPr>
          <w:p w14:paraId="580D4938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1557" w:type="dxa"/>
          </w:tcPr>
          <w:p w14:paraId="10BEDDC9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Cena </w:t>
            </w:r>
          </w:p>
        </w:tc>
        <w:tc>
          <w:tcPr>
            <w:tcW w:w="989" w:type="dxa"/>
          </w:tcPr>
          <w:p w14:paraId="054F25D7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Pkt </w:t>
            </w:r>
          </w:p>
        </w:tc>
        <w:tc>
          <w:tcPr>
            <w:tcW w:w="1465" w:type="dxa"/>
          </w:tcPr>
          <w:p w14:paraId="486B56F6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Przedłużenie gwarancji </w:t>
            </w:r>
          </w:p>
        </w:tc>
        <w:tc>
          <w:tcPr>
            <w:tcW w:w="1236" w:type="dxa"/>
          </w:tcPr>
          <w:p w14:paraId="58F3FB80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Pkt </w:t>
            </w:r>
          </w:p>
        </w:tc>
        <w:tc>
          <w:tcPr>
            <w:tcW w:w="1236" w:type="dxa"/>
          </w:tcPr>
          <w:p w14:paraId="23043911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Łączna ilość pkt </w:t>
            </w:r>
          </w:p>
        </w:tc>
      </w:tr>
      <w:tr w:rsidR="00E759D0" w:rsidRPr="007E3B7E" w14:paraId="4C2A91BC" w14:textId="77777777" w:rsidTr="00C06FDA">
        <w:tc>
          <w:tcPr>
            <w:tcW w:w="443" w:type="dxa"/>
          </w:tcPr>
          <w:p w14:paraId="563BBEAB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390" w:type="dxa"/>
          </w:tcPr>
          <w:p w14:paraId="4D0E7CF6" w14:textId="77777777" w:rsidR="00E759D0" w:rsidRPr="007E3B7E" w:rsidRDefault="00E759D0" w:rsidP="00C06F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2" w:name="_Hlk118811351"/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ALLTECH S.J ZDZISŁAW PAJĄK, ARTUR PAJĄK</w:t>
            </w:r>
          </w:p>
          <w:p w14:paraId="3FDCD736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ul. Spółdzielcza 33, 09-407 Płock</w:t>
            </w:r>
            <w:bookmarkEnd w:id="2"/>
            <w:r w:rsidRPr="007E3B7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, </w:t>
            </w:r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NIP: 7740013894</w:t>
            </w:r>
          </w:p>
        </w:tc>
        <w:tc>
          <w:tcPr>
            <w:tcW w:w="1557" w:type="dxa"/>
          </w:tcPr>
          <w:p w14:paraId="16391766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131.395,98 zł</w:t>
            </w:r>
          </w:p>
        </w:tc>
        <w:tc>
          <w:tcPr>
            <w:tcW w:w="989" w:type="dxa"/>
          </w:tcPr>
          <w:p w14:paraId="2743634C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1465" w:type="dxa"/>
          </w:tcPr>
          <w:p w14:paraId="5F4519C6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24 </w:t>
            </w:r>
            <w:proofErr w:type="spellStart"/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mce</w:t>
            </w:r>
            <w:proofErr w:type="spellEnd"/>
          </w:p>
        </w:tc>
        <w:tc>
          <w:tcPr>
            <w:tcW w:w="1236" w:type="dxa"/>
          </w:tcPr>
          <w:p w14:paraId="78FA9F7C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236" w:type="dxa"/>
          </w:tcPr>
          <w:p w14:paraId="41C56117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100</w:t>
            </w:r>
          </w:p>
        </w:tc>
      </w:tr>
      <w:tr w:rsidR="00E759D0" w:rsidRPr="007E3B7E" w14:paraId="37C00D91" w14:textId="77777777" w:rsidTr="00AC2959">
        <w:tc>
          <w:tcPr>
            <w:tcW w:w="443" w:type="dxa"/>
          </w:tcPr>
          <w:p w14:paraId="1825C618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390" w:type="dxa"/>
          </w:tcPr>
          <w:p w14:paraId="7C2D56AA" w14:textId="77777777" w:rsidR="00E759D0" w:rsidRPr="007E3B7E" w:rsidRDefault="00E759D0" w:rsidP="00C06F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3" w:name="_Hlk118812090"/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CEZAR Cezary </w:t>
            </w:r>
            <w:proofErr w:type="spellStart"/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Machnio</w:t>
            </w:r>
            <w:proofErr w:type="spellEnd"/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Piotr Gębka Sp. z o.o. ul. Wolność 8 lok. 4, 26-600 Radom </w:t>
            </w:r>
          </w:p>
          <w:bookmarkEnd w:id="3"/>
          <w:p w14:paraId="7262B0B0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NIP: 9482528507</w:t>
            </w:r>
          </w:p>
        </w:tc>
        <w:tc>
          <w:tcPr>
            <w:tcW w:w="1557" w:type="dxa"/>
          </w:tcPr>
          <w:p w14:paraId="4F2156BC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229.902,54 zł</w:t>
            </w:r>
          </w:p>
          <w:p w14:paraId="763A5363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</w:pPr>
          </w:p>
          <w:p w14:paraId="369DE80A" w14:textId="49824AB8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4926" w:type="dxa"/>
            <w:gridSpan w:val="4"/>
          </w:tcPr>
          <w:p w14:paraId="412B5DF3" w14:textId="3CA0DF6A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Oferta odrzucona</w:t>
            </w: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na podstawie art. 226 </w:t>
            </w:r>
            <w:r w:rsidR="000B393F"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ust. 1 pkt 5 Ustawy z dnia 11 września 2019 r. prawo  zamówień publicznych  - jej treść jest niezgodna z warunkami zamówienia. </w:t>
            </w:r>
          </w:p>
        </w:tc>
      </w:tr>
      <w:tr w:rsidR="00E759D0" w:rsidRPr="007E3B7E" w14:paraId="5A9F572D" w14:textId="77777777" w:rsidTr="00F9609A">
        <w:tc>
          <w:tcPr>
            <w:tcW w:w="443" w:type="dxa"/>
          </w:tcPr>
          <w:p w14:paraId="5DD548CB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390" w:type="dxa"/>
          </w:tcPr>
          <w:p w14:paraId="5A567AC5" w14:textId="6BEDE50B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Przedsiębiorstwo Optimus Sp. z o.o.</w:t>
            </w:r>
            <w:r w:rsidR="002A46A1" w:rsidRPr="007E3B7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CA1996" w:rsidRPr="007E3B7E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  <w:r w:rsidRPr="007E3B7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, </w:t>
            </w:r>
            <w:r w:rsidRPr="007E3B7E">
              <w:rPr>
                <w:rFonts w:ascii="Times New Roman" w:hAnsi="Times New Roman"/>
                <w:sz w:val="20"/>
                <w:szCs w:val="20"/>
                <w:lang w:eastAsia="pl-PL"/>
              </w:rPr>
              <w:t>98-200 Sieradz, ul. Jana Pawła II 84k, NIP 8270018155</w:t>
            </w:r>
          </w:p>
        </w:tc>
        <w:tc>
          <w:tcPr>
            <w:tcW w:w="1557" w:type="dxa"/>
          </w:tcPr>
          <w:p w14:paraId="42B0CE67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170.630,52 zł</w:t>
            </w:r>
          </w:p>
          <w:p w14:paraId="13EB2268" w14:textId="713AF93F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26" w:type="dxa"/>
            <w:gridSpan w:val="4"/>
          </w:tcPr>
          <w:p w14:paraId="4C7FB714" w14:textId="201E753E" w:rsidR="00E759D0" w:rsidRPr="007E3B7E" w:rsidRDefault="000B393F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Oferta odrzucona   na podstawie art. 226 ust. 1 pkt 5 Ustawy z dnia 11 września 2019 r. prawo  zamówień publicznych  - jej treść jest niezgodna z warunkami zamówienia.</w:t>
            </w:r>
          </w:p>
        </w:tc>
      </w:tr>
      <w:tr w:rsidR="00E759D0" w:rsidRPr="007E3B7E" w14:paraId="06C06BF0" w14:textId="77777777" w:rsidTr="00505ADE">
        <w:tc>
          <w:tcPr>
            <w:tcW w:w="443" w:type="dxa"/>
          </w:tcPr>
          <w:p w14:paraId="2DE03C2E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390" w:type="dxa"/>
          </w:tcPr>
          <w:p w14:paraId="0E717A98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4" w:name="_Hlk118811522"/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WEB PROFIT Maciej </w:t>
            </w:r>
            <w:proofErr w:type="spellStart"/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Kuźlik</w:t>
            </w:r>
            <w:proofErr w:type="spellEnd"/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, ul. Spokojna 19, 4-940 Piekary Śląskie</w:t>
            </w:r>
            <w:bookmarkEnd w:id="4"/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>, NIP: 498 013 84 93</w:t>
            </w:r>
          </w:p>
        </w:tc>
        <w:tc>
          <w:tcPr>
            <w:tcW w:w="1557" w:type="dxa"/>
          </w:tcPr>
          <w:p w14:paraId="3278D071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185.225,70 zł </w:t>
            </w:r>
          </w:p>
          <w:p w14:paraId="6611F537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14:paraId="59F91A77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14:paraId="44793F1E" w14:textId="77777777" w:rsidR="00E759D0" w:rsidRPr="007E3B7E" w:rsidRDefault="00E759D0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26" w:type="dxa"/>
            <w:gridSpan w:val="4"/>
          </w:tcPr>
          <w:p w14:paraId="00BDA71B" w14:textId="4DE591F8" w:rsidR="00E759D0" w:rsidRPr="007E3B7E" w:rsidRDefault="000B393F" w:rsidP="00C06FDA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Oferta odrzucona   na podstawie </w:t>
            </w:r>
            <w:r w:rsidR="00AF329D"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F329D" w:rsidRPr="007E3B7E">
              <w:rPr>
                <w:rFonts w:ascii="Times New Roman" w:hAnsi="Times New Roman"/>
                <w:sz w:val="20"/>
                <w:szCs w:val="20"/>
                <w:lang w:val="pl-PL"/>
              </w:rPr>
              <w:t>art. 226 ust. 1 pkt 2 lit c)</w:t>
            </w:r>
            <w:r w:rsidR="00AF329D"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</w:t>
            </w:r>
            <w:r w:rsidR="00AF329D"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Ustawy z dnia 11 września 2019 r. prawo  zamówień publicznych  </w:t>
            </w:r>
            <w:r w:rsidR="00AF329D" w:rsidRPr="007E3B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oferta została złożona przez wykonawcę, który nie złożył (…) przedmiotowego środka  dowodowego, do złożenia  którego  był  zobowiązany na podstawie Rozdziału III pkt 4 SWZ</w:t>
            </w:r>
            <w:r w:rsidR="00E67406" w:rsidRPr="007E3B7E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</w:tbl>
    <w:p w14:paraId="04F606B3" w14:textId="350AA439" w:rsidR="00793F95" w:rsidRDefault="00793F95" w:rsidP="00471878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744B00EF" w14:textId="7C6FD60B" w:rsidR="007E3B7E" w:rsidRDefault="007E3B7E" w:rsidP="00471878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697362B3" w14:textId="77777777" w:rsidR="007E3B7E" w:rsidRPr="00E67406" w:rsidRDefault="007E3B7E" w:rsidP="00471878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6A9CDD14" w14:textId="2CF393AB" w:rsidR="00AA494A" w:rsidRPr="00E67406" w:rsidRDefault="00390633" w:rsidP="00471878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lang w:eastAsia="zh-CN"/>
        </w:rPr>
      </w:pPr>
      <w:r w:rsidRPr="00E67406">
        <w:rPr>
          <w:b/>
        </w:rPr>
        <w:t xml:space="preserve">                                                                       </w:t>
      </w:r>
      <w:r w:rsidR="00AA494A" w:rsidRPr="00E67406">
        <w:rPr>
          <w:b/>
        </w:rPr>
        <w:t>DYREKTOR</w:t>
      </w:r>
    </w:p>
    <w:p w14:paraId="1EDA4194" w14:textId="77777777" w:rsidR="00AA494A" w:rsidRPr="00E67406" w:rsidRDefault="00AA494A" w:rsidP="00471878">
      <w:pPr>
        <w:keepNext/>
        <w:keepLines/>
        <w:spacing w:after="160" w:line="360" w:lineRule="auto"/>
        <w:ind w:left="4678"/>
        <w:jc w:val="center"/>
        <w:rPr>
          <w:lang w:val="x-none" w:eastAsia="x-none"/>
        </w:rPr>
      </w:pPr>
      <w:r w:rsidRPr="00E67406">
        <w:rPr>
          <w:lang w:val="x-none" w:eastAsia="x-none"/>
        </w:rPr>
        <w:t>Centrum Kształcenia Zawodowego i Ustawicznego w Łodzi</w:t>
      </w:r>
    </w:p>
    <w:p w14:paraId="3612812A" w14:textId="77777777" w:rsidR="00AA494A" w:rsidRPr="00E67406" w:rsidRDefault="00AA494A" w:rsidP="00471878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  <w:r w:rsidRPr="00E67406">
        <w:rPr>
          <w:lang w:eastAsia="x-none"/>
        </w:rPr>
        <w:t>Dominika Walicka</w:t>
      </w:r>
    </w:p>
    <w:bookmarkEnd w:id="0"/>
    <w:p w14:paraId="50221FE8" w14:textId="77777777" w:rsidR="00F62DD4" w:rsidRPr="00E67406" w:rsidRDefault="00F62DD4" w:rsidP="00471878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E67406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26B5" w14:textId="77777777" w:rsidR="00FF5203" w:rsidRDefault="00FF5203">
      <w:r>
        <w:separator/>
      </w:r>
    </w:p>
  </w:endnote>
  <w:endnote w:type="continuationSeparator" w:id="0">
    <w:p w14:paraId="52DC230F" w14:textId="77777777" w:rsidR="00FF5203" w:rsidRDefault="00FF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1A2CC429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0C85">
      <w:rPr>
        <w:noProof/>
      </w:rPr>
      <w:t>8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5BBB" w14:textId="77777777" w:rsidR="00FF5203" w:rsidRDefault="00FF5203">
      <w:r>
        <w:separator/>
      </w:r>
    </w:p>
  </w:footnote>
  <w:footnote w:type="continuationSeparator" w:id="0">
    <w:p w14:paraId="6E2EAA16" w14:textId="77777777" w:rsidR="00FF5203" w:rsidRDefault="00FF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7D532DC1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F216E0">
      <w:rPr>
        <w:rFonts w:cs="Calibri"/>
        <w:sz w:val="18"/>
        <w:szCs w:val="18"/>
      </w:rPr>
      <w:t>Akademia sukcesu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971698F"/>
    <w:multiLevelType w:val="hybridMultilevel"/>
    <w:tmpl w:val="B444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4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C30379F"/>
    <w:multiLevelType w:val="hybridMultilevel"/>
    <w:tmpl w:val="56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E89"/>
    <w:multiLevelType w:val="hybridMultilevel"/>
    <w:tmpl w:val="DA52303C"/>
    <w:lvl w:ilvl="0" w:tplc="AD9CD7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7D92"/>
    <w:multiLevelType w:val="hybridMultilevel"/>
    <w:tmpl w:val="508A4530"/>
    <w:lvl w:ilvl="0" w:tplc="92289DA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779431">
    <w:abstractNumId w:val="0"/>
  </w:num>
  <w:num w:numId="2" w16cid:durableId="476608969">
    <w:abstractNumId w:val="1"/>
  </w:num>
  <w:num w:numId="3" w16cid:durableId="588272951">
    <w:abstractNumId w:val="16"/>
  </w:num>
  <w:num w:numId="4" w16cid:durableId="215167111">
    <w:abstractNumId w:val="11"/>
  </w:num>
  <w:num w:numId="5" w16cid:durableId="1261183156">
    <w:abstractNumId w:val="8"/>
  </w:num>
  <w:num w:numId="6" w16cid:durableId="285817050">
    <w:abstractNumId w:val="9"/>
  </w:num>
  <w:num w:numId="7" w16cid:durableId="723531263">
    <w:abstractNumId w:val="12"/>
  </w:num>
  <w:num w:numId="8" w16cid:durableId="89373836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234364242">
    <w:abstractNumId w:val="14"/>
  </w:num>
  <w:num w:numId="10" w16cid:durableId="1943416323">
    <w:abstractNumId w:val="5"/>
  </w:num>
  <w:num w:numId="11" w16cid:durableId="1264453645">
    <w:abstractNumId w:val="4"/>
  </w:num>
  <w:num w:numId="12" w16cid:durableId="1525946027">
    <w:abstractNumId w:val="6"/>
  </w:num>
  <w:num w:numId="13" w16cid:durableId="648366136">
    <w:abstractNumId w:val="7"/>
  </w:num>
  <w:num w:numId="14" w16cid:durableId="1971089149">
    <w:abstractNumId w:val="10"/>
  </w:num>
  <w:num w:numId="15" w16cid:durableId="483544089">
    <w:abstractNumId w:val="2"/>
  </w:num>
  <w:num w:numId="16" w16cid:durableId="1739786182">
    <w:abstractNumId w:val="13"/>
  </w:num>
  <w:num w:numId="17" w16cid:durableId="125901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5"/>
    <w:rsid w:val="000228BE"/>
    <w:rsid w:val="00083D88"/>
    <w:rsid w:val="000A682F"/>
    <w:rsid w:val="000A7B80"/>
    <w:rsid w:val="000B2C2A"/>
    <w:rsid w:val="000B393F"/>
    <w:rsid w:val="00111358"/>
    <w:rsid w:val="00117577"/>
    <w:rsid w:val="001371BA"/>
    <w:rsid w:val="00151640"/>
    <w:rsid w:val="00156211"/>
    <w:rsid w:val="001716D3"/>
    <w:rsid w:val="00172730"/>
    <w:rsid w:val="00176D5A"/>
    <w:rsid w:val="001918FD"/>
    <w:rsid w:val="001932FB"/>
    <w:rsid w:val="001C7EB0"/>
    <w:rsid w:val="001D5162"/>
    <w:rsid w:val="00200CDE"/>
    <w:rsid w:val="00235340"/>
    <w:rsid w:val="00241B83"/>
    <w:rsid w:val="002552B6"/>
    <w:rsid w:val="00256439"/>
    <w:rsid w:val="00271B23"/>
    <w:rsid w:val="00294D39"/>
    <w:rsid w:val="002A46A1"/>
    <w:rsid w:val="002A55DF"/>
    <w:rsid w:val="002C021B"/>
    <w:rsid w:val="002E57CF"/>
    <w:rsid w:val="002F79EE"/>
    <w:rsid w:val="00314F52"/>
    <w:rsid w:val="00320C85"/>
    <w:rsid w:val="0035174D"/>
    <w:rsid w:val="00377066"/>
    <w:rsid w:val="00390633"/>
    <w:rsid w:val="003C3252"/>
    <w:rsid w:val="003C59FC"/>
    <w:rsid w:val="003D02BB"/>
    <w:rsid w:val="003E3EC4"/>
    <w:rsid w:val="003F3BFC"/>
    <w:rsid w:val="00404E32"/>
    <w:rsid w:val="00416D8D"/>
    <w:rsid w:val="00431A3B"/>
    <w:rsid w:val="00471878"/>
    <w:rsid w:val="00474715"/>
    <w:rsid w:val="004759F1"/>
    <w:rsid w:val="004924EE"/>
    <w:rsid w:val="004A267D"/>
    <w:rsid w:val="004E769E"/>
    <w:rsid w:val="004F2579"/>
    <w:rsid w:val="00513E15"/>
    <w:rsid w:val="0053321A"/>
    <w:rsid w:val="00544E25"/>
    <w:rsid w:val="00550543"/>
    <w:rsid w:val="00557C47"/>
    <w:rsid w:val="0056596E"/>
    <w:rsid w:val="005929A5"/>
    <w:rsid w:val="005A35E2"/>
    <w:rsid w:val="005B0EF1"/>
    <w:rsid w:val="005E55F0"/>
    <w:rsid w:val="0060635B"/>
    <w:rsid w:val="006201BB"/>
    <w:rsid w:val="0064265A"/>
    <w:rsid w:val="00651831"/>
    <w:rsid w:val="0065186E"/>
    <w:rsid w:val="00685F05"/>
    <w:rsid w:val="006B2A74"/>
    <w:rsid w:val="006C1A58"/>
    <w:rsid w:val="006C748E"/>
    <w:rsid w:val="006D0B2B"/>
    <w:rsid w:val="006E67C3"/>
    <w:rsid w:val="0071008B"/>
    <w:rsid w:val="00726BC5"/>
    <w:rsid w:val="00743092"/>
    <w:rsid w:val="0078374C"/>
    <w:rsid w:val="00793F95"/>
    <w:rsid w:val="007A556A"/>
    <w:rsid w:val="007E3B7E"/>
    <w:rsid w:val="007E4FCB"/>
    <w:rsid w:val="00827430"/>
    <w:rsid w:val="00831CA3"/>
    <w:rsid w:val="00832CB5"/>
    <w:rsid w:val="00875933"/>
    <w:rsid w:val="008B2D45"/>
    <w:rsid w:val="008B6039"/>
    <w:rsid w:val="008C6CAA"/>
    <w:rsid w:val="008D4DA3"/>
    <w:rsid w:val="009153AC"/>
    <w:rsid w:val="0092206F"/>
    <w:rsid w:val="009411B8"/>
    <w:rsid w:val="00996290"/>
    <w:rsid w:val="00997C4F"/>
    <w:rsid w:val="009B7557"/>
    <w:rsid w:val="009D1069"/>
    <w:rsid w:val="00A20EAE"/>
    <w:rsid w:val="00A23BA8"/>
    <w:rsid w:val="00A2580F"/>
    <w:rsid w:val="00A4746B"/>
    <w:rsid w:val="00A76E85"/>
    <w:rsid w:val="00A902EC"/>
    <w:rsid w:val="00AA3217"/>
    <w:rsid w:val="00AA494A"/>
    <w:rsid w:val="00AC39F1"/>
    <w:rsid w:val="00AC67AB"/>
    <w:rsid w:val="00AF329D"/>
    <w:rsid w:val="00B032E8"/>
    <w:rsid w:val="00B22EC9"/>
    <w:rsid w:val="00B64780"/>
    <w:rsid w:val="00BA0287"/>
    <w:rsid w:val="00BB2B5A"/>
    <w:rsid w:val="00BE6A6A"/>
    <w:rsid w:val="00C03D91"/>
    <w:rsid w:val="00C11181"/>
    <w:rsid w:val="00C32130"/>
    <w:rsid w:val="00C44907"/>
    <w:rsid w:val="00C60255"/>
    <w:rsid w:val="00C644F8"/>
    <w:rsid w:val="00C82375"/>
    <w:rsid w:val="00C96A85"/>
    <w:rsid w:val="00CA1996"/>
    <w:rsid w:val="00CA40B3"/>
    <w:rsid w:val="00CC2788"/>
    <w:rsid w:val="00CD15CB"/>
    <w:rsid w:val="00CD6267"/>
    <w:rsid w:val="00CE4D81"/>
    <w:rsid w:val="00CE60A1"/>
    <w:rsid w:val="00CF08B3"/>
    <w:rsid w:val="00D45F96"/>
    <w:rsid w:val="00D53BA8"/>
    <w:rsid w:val="00D87BB4"/>
    <w:rsid w:val="00DB1219"/>
    <w:rsid w:val="00DC791C"/>
    <w:rsid w:val="00DD4726"/>
    <w:rsid w:val="00DE59DE"/>
    <w:rsid w:val="00E21B24"/>
    <w:rsid w:val="00E32A4A"/>
    <w:rsid w:val="00E34AA9"/>
    <w:rsid w:val="00E460D8"/>
    <w:rsid w:val="00E60D25"/>
    <w:rsid w:val="00E65F81"/>
    <w:rsid w:val="00E67406"/>
    <w:rsid w:val="00E759D0"/>
    <w:rsid w:val="00ED4F92"/>
    <w:rsid w:val="00EF249C"/>
    <w:rsid w:val="00F04722"/>
    <w:rsid w:val="00F0615C"/>
    <w:rsid w:val="00F06DE1"/>
    <w:rsid w:val="00F168E6"/>
    <w:rsid w:val="00F216E0"/>
    <w:rsid w:val="00F27DA7"/>
    <w:rsid w:val="00F56206"/>
    <w:rsid w:val="00F62DD4"/>
    <w:rsid w:val="00F92CB0"/>
    <w:rsid w:val="00F97F2F"/>
    <w:rsid w:val="00FB5980"/>
    <w:rsid w:val="00FC5684"/>
    <w:rsid w:val="00FD2AB7"/>
    <w:rsid w:val="00FD399D"/>
    <w:rsid w:val="00FD74A1"/>
    <w:rsid w:val="00FE1860"/>
    <w:rsid w:val="00FF2D2B"/>
    <w:rsid w:val="00FF520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3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635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4924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A55DF"/>
    <w:rPr>
      <w:i/>
      <w:iCs/>
    </w:rPr>
  </w:style>
  <w:style w:type="character" w:styleId="Pogrubienie">
    <w:name w:val="Strong"/>
    <w:basedOn w:val="Domylnaczcionkaakapitu"/>
    <w:uiPriority w:val="22"/>
    <w:qFormat/>
    <w:rsid w:val="007E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9961-E791-4F28-AB07-BCADF4F7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2022-10-17T11:00:00Z</dcterms:created>
  <dcterms:modified xsi:type="dcterms:W3CDTF">2022-11-25T08:41:00Z</dcterms:modified>
</cp:coreProperties>
</file>