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DD809D" w14:textId="05ED5917" w:rsidR="00FD74A1" w:rsidRPr="007E4FCB" w:rsidRDefault="003C3252" w:rsidP="007E4FCB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E4FCB">
        <w:rPr>
          <w:rFonts w:ascii="Times New Roman" w:hAnsi="Times New Roman" w:cs="Times New Roman"/>
          <w:color w:val="auto"/>
        </w:rPr>
        <w:t xml:space="preserve"> Łódź, dnia </w:t>
      </w:r>
      <w:r w:rsidR="00832CB5">
        <w:rPr>
          <w:rFonts w:ascii="Times New Roman" w:hAnsi="Times New Roman" w:cs="Times New Roman"/>
          <w:color w:val="auto"/>
        </w:rPr>
        <w:t>23.</w:t>
      </w:r>
      <w:r w:rsidR="00D87BB4" w:rsidRPr="007E4FCB">
        <w:rPr>
          <w:rFonts w:ascii="Times New Roman" w:hAnsi="Times New Roman" w:cs="Times New Roman"/>
          <w:color w:val="auto"/>
        </w:rPr>
        <w:t>09</w:t>
      </w:r>
      <w:r w:rsidRPr="007E4FCB">
        <w:rPr>
          <w:rFonts w:ascii="Times New Roman" w:hAnsi="Times New Roman" w:cs="Times New Roman"/>
          <w:color w:val="auto"/>
        </w:rPr>
        <w:t>.2022</w:t>
      </w:r>
    </w:p>
    <w:p w14:paraId="6E3F694A" w14:textId="77777777" w:rsidR="0060635B" w:rsidRPr="007E4FCB" w:rsidRDefault="0060635B" w:rsidP="007E4FCB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14:paraId="0C39A18C" w14:textId="11B72203" w:rsidR="00156211" w:rsidRPr="007E4FCB" w:rsidRDefault="006B2A74" w:rsidP="007E4FCB">
      <w:pPr>
        <w:pStyle w:val="Default"/>
        <w:keepNext/>
        <w:keepLines/>
        <w:spacing w:line="360" w:lineRule="auto"/>
        <w:rPr>
          <w:rFonts w:ascii="Times New Roman" w:hAnsi="Times New Roman" w:cs="Times New Roman"/>
          <w:color w:val="auto"/>
        </w:rPr>
      </w:pPr>
      <w:r w:rsidRPr="007E4FCB">
        <w:rPr>
          <w:rFonts w:ascii="Times New Roman" w:eastAsiaTheme="majorEastAsia" w:hAnsi="Times New Roman" w:cs="Times New Roman"/>
          <w:color w:val="auto"/>
        </w:rPr>
        <w:t>Oznaczenie sprawy</w:t>
      </w:r>
      <w:r w:rsidRPr="007E4FCB">
        <w:rPr>
          <w:rFonts w:ascii="Times New Roman" w:hAnsi="Times New Roman" w:cs="Times New Roman"/>
          <w:color w:val="auto"/>
        </w:rPr>
        <w:t>1/W</w:t>
      </w:r>
      <w:r w:rsidR="00BA0287" w:rsidRPr="007E4FCB">
        <w:rPr>
          <w:rFonts w:ascii="Times New Roman" w:hAnsi="Times New Roman" w:cs="Times New Roman"/>
          <w:color w:val="auto"/>
        </w:rPr>
        <w:t>KWM</w:t>
      </w:r>
      <w:r w:rsidRPr="007E4FCB">
        <w:rPr>
          <w:rFonts w:ascii="Times New Roman" w:hAnsi="Times New Roman" w:cs="Times New Roman"/>
          <w:color w:val="auto"/>
        </w:rPr>
        <w:t>/2022</w:t>
      </w:r>
    </w:p>
    <w:p w14:paraId="39A096BF" w14:textId="77777777" w:rsidR="0060635B" w:rsidRPr="007E4FCB" w:rsidRDefault="0060635B" w:rsidP="007E4FCB">
      <w:pPr>
        <w:pStyle w:val="Default"/>
        <w:keepNext/>
        <w:keepLines/>
        <w:spacing w:line="360" w:lineRule="auto"/>
        <w:rPr>
          <w:rFonts w:ascii="Times New Roman" w:hAnsi="Times New Roman" w:cs="Times New Roman"/>
          <w:color w:val="auto"/>
        </w:rPr>
      </w:pPr>
    </w:p>
    <w:p w14:paraId="461A79FB" w14:textId="4B61374B" w:rsidR="00083D88" w:rsidRPr="007E4FCB" w:rsidRDefault="00156211" w:rsidP="00A20EAE">
      <w:pPr>
        <w:keepNext/>
        <w:keepLines/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bCs/>
          <w:sz w:val="23"/>
          <w:szCs w:val="23"/>
        </w:rPr>
      </w:pPr>
      <w:r w:rsidRPr="007E4FCB">
        <w:rPr>
          <w:lang w:eastAsia="pl-PL"/>
        </w:rPr>
        <w:t xml:space="preserve"> </w:t>
      </w:r>
      <w:r w:rsidR="00A20EAE">
        <w:rPr>
          <w:b/>
          <w:bCs/>
          <w:sz w:val="23"/>
          <w:szCs w:val="23"/>
          <w:lang w:eastAsia="pl-PL"/>
        </w:rPr>
        <w:t>WYKONAWCY biorący udział w zamówieniu</w:t>
      </w:r>
    </w:p>
    <w:p w14:paraId="565DFB5B" w14:textId="77777777" w:rsidR="0060635B" w:rsidRPr="007E4FCB" w:rsidRDefault="0060635B" w:rsidP="007E4FCB">
      <w:pPr>
        <w:keepNext/>
        <w:keepLines/>
        <w:suppressAutoHyphens w:val="0"/>
        <w:autoSpaceDE w:val="0"/>
        <w:autoSpaceDN w:val="0"/>
        <w:adjustRightInd w:val="0"/>
        <w:spacing w:line="360" w:lineRule="auto"/>
        <w:jc w:val="right"/>
      </w:pPr>
    </w:p>
    <w:p w14:paraId="008B5091" w14:textId="6B2AF651" w:rsidR="006B2A74" w:rsidRPr="007E4FCB" w:rsidRDefault="003C3252" w:rsidP="007E4FCB">
      <w:pPr>
        <w:keepNext/>
        <w:keepLines/>
        <w:spacing w:line="360" w:lineRule="auto"/>
        <w:jc w:val="both"/>
      </w:pPr>
      <w:bookmarkStart w:id="1" w:name="_Hlk71491663"/>
      <w:r w:rsidRPr="007E4FCB">
        <w:t xml:space="preserve">Nazwa: </w:t>
      </w:r>
      <w:r w:rsidR="006B2A74" w:rsidRPr="007E4FCB">
        <w:t>Dostawa sprzętu IT w ramach projektu</w:t>
      </w:r>
      <w:r w:rsidR="008C6CAA" w:rsidRPr="007E4FCB">
        <w:t xml:space="preserve"> </w:t>
      </w:r>
      <w:r w:rsidR="002F79EE" w:rsidRPr="007E4FCB">
        <w:t xml:space="preserve"> </w:t>
      </w:r>
      <w:r w:rsidR="006B2A74" w:rsidRPr="007E4FCB">
        <w:t>: „</w:t>
      </w:r>
      <w:r w:rsidR="00BA0287" w:rsidRPr="007E4FCB">
        <w:t>Wyższe kwalifikacje – wyższe możliwości</w:t>
      </w:r>
      <w:r w:rsidR="006B2A74" w:rsidRPr="007E4FCB">
        <w:t>” współfinansowanego przez Unię Europejską ze środków Europejskiego Funduszu Społecznego w ramach Regionalnego Programu Operacyjnego Województwa Łódzkiego na lata 2014-2020</w:t>
      </w:r>
    </w:p>
    <w:p w14:paraId="2F021473" w14:textId="77777777" w:rsidR="00FF2D2B" w:rsidRPr="007E4FCB" w:rsidRDefault="00FF2D2B" w:rsidP="007E4FCB">
      <w:pPr>
        <w:keepNext/>
        <w:keepLines/>
        <w:widowControl w:val="0"/>
        <w:autoSpaceDE w:val="0"/>
        <w:autoSpaceDN w:val="0"/>
        <w:adjustRightInd w:val="0"/>
        <w:spacing w:line="360" w:lineRule="auto"/>
        <w:ind w:left="6371" w:firstLine="709"/>
        <w:jc w:val="both"/>
        <w:rPr>
          <w:b/>
        </w:rPr>
      </w:pPr>
    </w:p>
    <w:p w14:paraId="3A643DFD" w14:textId="674B49A9" w:rsidR="00FF2D2B" w:rsidRPr="007E4FCB" w:rsidRDefault="00FF2D2B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>Zamawiający – na podstawie art. 253 ust. 2 ustawy z dnia 11 września 2019 r. Prawo zamówień publicznych, zwanej dalej „Ustawą”, informuje, że na podstawie kryteriów oceny ofert określonych w SWZ w przedmiotowym postępowaniu jako najkorzystniejsza wybrana została oferta:</w:t>
      </w:r>
    </w:p>
    <w:p w14:paraId="4E55CBA2" w14:textId="77777777" w:rsidR="00C82375" w:rsidRPr="007E4FCB" w:rsidRDefault="00C82375" w:rsidP="007E4FC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50B386E1" w14:textId="77777777" w:rsidR="00C82375" w:rsidRPr="007E4FCB" w:rsidRDefault="00C82375" w:rsidP="007E4FCB">
      <w:pPr>
        <w:keepNext/>
        <w:keepLines/>
        <w:suppressAutoHyphens w:val="0"/>
        <w:autoSpaceDE w:val="0"/>
        <w:autoSpaceDN w:val="0"/>
        <w:adjustRightInd w:val="0"/>
        <w:spacing w:line="360" w:lineRule="auto"/>
        <w:rPr>
          <w:sz w:val="23"/>
          <w:szCs w:val="23"/>
          <w:lang w:eastAsia="pl-PL"/>
        </w:rPr>
      </w:pPr>
      <w:r w:rsidRPr="007E4FCB">
        <w:rPr>
          <w:sz w:val="23"/>
          <w:szCs w:val="23"/>
          <w:lang w:eastAsia="pl-PL"/>
        </w:rPr>
        <w:t xml:space="preserve">CEZAR Cezary </w:t>
      </w:r>
      <w:proofErr w:type="spellStart"/>
      <w:r w:rsidRPr="007E4FCB">
        <w:rPr>
          <w:sz w:val="23"/>
          <w:szCs w:val="23"/>
          <w:lang w:eastAsia="pl-PL"/>
        </w:rPr>
        <w:t>Machnio</w:t>
      </w:r>
      <w:proofErr w:type="spellEnd"/>
      <w:r w:rsidRPr="007E4FCB">
        <w:rPr>
          <w:sz w:val="23"/>
          <w:szCs w:val="23"/>
          <w:lang w:eastAsia="pl-PL"/>
        </w:rPr>
        <w:t xml:space="preserve"> i Piotr Gębka Sp. z o.o. ul. Wolność 8 lok. 4, 26-600 Radom </w:t>
      </w:r>
    </w:p>
    <w:p w14:paraId="124A5430" w14:textId="77777777" w:rsidR="00C82375" w:rsidRPr="007E4FCB" w:rsidRDefault="00C82375" w:rsidP="007E4FCB">
      <w:pPr>
        <w:keepNext/>
        <w:keepLines/>
        <w:widowControl w:val="0"/>
        <w:spacing w:line="360" w:lineRule="auto"/>
        <w:ind w:right="70"/>
        <w:contextualSpacing/>
        <w:jc w:val="both"/>
        <w:rPr>
          <w:sz w:val="23"/>
          <w:szCs w:val="23"/>
          <w:lang w:eastAsia="pl-PL"/>
        </w:rPr>
      </w:pPr>
      <w:r w:rsidRPr="007E4FCB">
        <w:rPr>
          <w:sz w:val="23"/>
          <w:szCs w:val="23"/>
          <w:lang w:eastAsia="pl-PL"/>
        </w:rPr>
        <w:t xml:space="preserve">NIP: 9482528507, </w:t>
      </w:r>
      <w:proofErr w:type="spellStart"/>
      <w:r w:rsidRPr="007E4FCB">
        <w:rPr>
          <w:sz w:val="23"/>
          <w:szCs w:val="23"/>
          <w:lang w:eastAsia="pl-PL"/>
        </w:rPr>
        <w:t>mikroprzedsiebiorca</w:t>
      </w:r>
      <w:proofErr w:type="spellEnd"/>
    </w:p>
    <w:p w14:paraId="4181DB9D" w14:textId="262E9BAF" w:rsidR="00FF2D2B" w:rsidRPr="007E4FCB" w:rsidRDefault="00C82375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rPr>
          <w:sz w:val="23"/>
          <w:szCs w:val="23"/>
          <w:lang w:eastAsia="pl-PL"/>
        </w:rPr>
        <w:t xml:space="preserve">Cena: 194.525,00 zł, </w:t>
      </w:r>
      <w:r w:rsidR="00D87BB4" w:rsidRPr="007E4FCB">
        <w:rPr>
          <w:sz w:val="23"/>
          <w:szCs w:val="23"/>
          <w:lang w:eastAsia="pl-PL"/>
        </w:rPr>
        <w:t xml:space="preserve">kryterium </w:t>
      </w:r>
      <w:proofErr w:type="spellStart"/>
      <w:r w:rsidR="00D87BB4" w:rsidRPr="007E4FCB">
        <w:rPr>
          <w:sz w:val="23"/>
          <w:szCs w:val="23"/>
          <w:lang w:eastAsia="pl-PL"/>
        </w:rPr>
        <w:t>pozacenowe</w:t>
      </w:r>
      <w:proofErr w:type="spellEnd"/>
      <w:r w:rsidR="00D87BB4" w:rsidRPr="007E4FCB">
        <w:rPr>
          <w:sz w:val="23"/>
          <w:szCs w:val="23"/>
          <w:lang w:eastAsia="pl-PL"/>
        </w:rPr>
        <w:t xml:space="preserve">: </w:t>
      </w:r>
      <w:r w:rsidRPr="007E4FCB">
        <w:t>przedłużenie okr</w:t>
      </w:r>
      <w:r w:rsidR="00D87BB4" w:rsidRPr="007E4FCB">
        <w:t>esu</w:t>
      </w:r>
      <w:r w:rsidRPr="007E4FCB">
        <w:t xml:space="preserve">  gwarancji i rękojmi dodatkowo  o 24 </w:t>
      </w:r>
      <w:proofErr w:type="spellStart"/>
      <w:r w:rsidRPr="007E4FCB">
        <w:t>mce</w:t>
      </w:r>
      <w:proofErr w:type="spellEnd"/>
      <w:r w:rsidRPr="007E4FCB">
        <w:t xml:space="preserve"> </w:t>
      </w:r>
    </w:p>
    <w:p w14:paraId="2DD2E72F" w14:textId="77777777" w:rsidR="00FF2D2B" w:rsidRPr="007E4FCB" w:rsidRDefault="00FF2D2B" w:rsidP="007E4FC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0EFBC50D" w14:textId="77777777" w:rsidR="00FF2D2B" w:rsidRPr="007E4FCB" w:rsidRDefault="00FF2D2B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>Uzasadnienie wyboru:</w:t>
      </w:r>
    </w:p>
    <w:p w14:paraId="56067DDA" w14:textId="45CC07C2" w:rsidR="004924EE" w:rsidRPr="007E4FCB" w:rsidRDefault="00FF2D2B" w:rsidP="007E4FCB">
      <w:pPr>
        <w:keepNext/>
        <w:keepLines/>
        <w:widowControl w:val="0"/>
        <w:numPr>
          <w:ilvl w:val="0"/>
          <w:numId w:val="13"/>
        </w:numPr>
        <w:spacing w:line="360" w:lineRule="auto"/>
        <w:ind w:right="70"/>
        <w:contextualSpacing/>
        <w:jc w:val="both"/>
      </w:pPr>
      <w:r w:rsidRPr="007E4FCB">
        <w:t>Zamawiający nie  stawiał warunków udziału w postępowaniu, a wykonawca wykazał, że  nie zachodzą w stosunku do niego podstawy wykluczenia z postępowania na podstawie art. 108 ust. 1 (obligatoryjne podstawy wykluczenia) oraz art. 109 ust. 1 pkt 4 Ustawy (fakultatywne podstawy wykluczenia),</w:t>
      </w:r>
      <w:r w:rsidR="004924EE" w:rsidRPr="007E4FCB">
        <w:t xml:space="preserve"> oraz na podstawie art. 7 ust. 1 ustawy z dnia 13 kwietnia 2022 r. o szczególnych rozwiązaniach w zakresie przeciwdziałania wspieraniu agresji na Ukrainę oraz służących ochronie bezpieczeństwa narodowego (Dz. U. poz. 835).</w:t>
      </w:r>
    </w:p>
    <w:p w14:paraId="3DBE9374" w14:textId="0267E5B1" w:rsidR="00FF2D2B" w:rsidRPr="007E4FCB" w:rsidRDefault="00FF2D2B" w:rsidP="007E4FCB">
      <w:pPr>
        <w:keepNext/>
        <w:keepLines/>
        <w:widowControl w:val="0"/>
        <w:numPr>
          <w:ilvl w:val="0"/>
          <w:numId w:val="13"/>
        </w:numPr>
        <w:spacing w:line="360" w:lineRule="auto"/>
        <w:ind w:right="70"/>
        <w:contextualSpacing/>
        <w:jc w:val="both"/>
      </w:pPr>
      <w:r w:rsidRPr="007E4FCB">
        <w:t>Zaoferowany sprzęt  spełnia wymagania  postawione przez Zamawiającego (warunek przedmiotowy)</w:t>
      </w:r>
      <w:r w:rsidR="004924EE" w:rsidRPr="007E4FCB">
        <w:t>, co Zamawiający ocenił na podstawie złożonych przedmiotowych środków dowodowych, o jakich  mowa  w ar</w:t>
      </w:r>
      <w:r w:rsidR="00D87BB4" w:rsidRPr="007E4FCB">
        <w:t>t</w:t>
      </w:r>
      <w:r w:rsidR="004924EE" w:rsidRPr="007E4FCB">
        <w:t xml:space="preserve">. 106 </w:t>
      </w:r>
      <w:proofErr w:type="spellStart"/>
      <w:r w:rsidR="004924EE" w:rsidRPr="007E4FCB">
        <w:t>pzp</w:t>
      </w:r>
      <w:proofErr w:type="spellEnd"/>
      <w:r w:rsidR="00D87BB4" w:rsidRPr="007E4FCB">
        <w:t xml:space="preserve"> ( rozdział III pkt 4 SWZ)</w:t>
      </w:r>
      <w:r w:rsidR="004924EE" w:rsidRPr="007E4FCB">
        <w:t>;</w:t>
      </w:r>
    </w:p>
    <w:p w14:paraId="3DDCEBD4" w14:textId="2B306F57" w:rsidR="00151640" w:rsidRPr="007E4FCB" w:rsidRDefault="00151640" w:rsidP="007E4FCB">
      <w:pPr>
        <w:keepNext/>
        <w:keepLines/>
        <w:widowControl w:val="0"/>
        <w:spacing w:line="360" w:lineRule="auto"/>
        <w:ind w:left="420" w:right="70"/>
        <w:contextualSpacing/>
        <w:jc w:val="both"/>
      </w:pPr>
      <w:r w:rsidRPr="007E4FCB">
        <w:lastRenderedPageBreak/>
        <w:t xml:space="preserve">Wykonawca złożył przedmiotowe środki dowodowe  wraz z ofertą. </w:t>
      </w:r>
      <w:r w:rsidR="00117577" w:rsidRPr="007E4FCB">
        <w:t xml:space="preserve">Zamawiający skierował </w:t>
      </w:r>
      <w:r w:rsidR="00D87BB4" w:rsidRPr="007E4FCB">
        <w:t xml:space="preserve">wezwanie do wyjaśnień </w:t>
      </w:r>
      <w:r w:rsidR="00117577" w:rsidRPr="007E4FCB">
        <w:t xml:space="preserve">do wykonawcy w  trybie  art. 107 ust 4 </w:t>
      </w:r>
      <w:proofErr w:type="spellStart"/>
      <w:r w:rsidR="00117577" w:rsidRPr="007E4FCB">
        <w:t>pzp</w:t>
      </w:r>
      <w:proofErr w:type="spellEnd"/>
      <w:r w:rsidR="00117577" w:rsidRPr="007E4FCB">
        <w:t xml:space="preserve">, celem </w:t>
      </w:r>
      <w:r w:rsidR="00D87BB4" w:rsidRPr="007E4FCB">
        <w:t>rozwiania</w:t>
      </w:r>
      <w:r w:rsidR="00117577" w:rsidRPr="007E4FCB">
        <w:t xml:space="preserve"> wątpliwości zamawiającego względem d</w:t>
      </w:r>
      <w:r w:rsidR="00CD6267" w:rsidRPr="007E4FCB">
        <w:t xml:space="preserve">wóch oferowanych artykułów. W pierwszej kolejności zamawiający </w:t>
      </w:r>
      <w:r w:rsidR="00D87BB4" w:rsidRPr="007E4FCB">
        <w:t>wyjaśnił</w:t>
      </w:r>
      <w:r w:rsidR="00CD6267" w:rsidRPr="007E4FCB">
        <w:t>, czy artykuł nr 7</w:t>
      </w:r>
      <w:r w:rsidR="00D87BB4" w:rsidRPr="007E4FCB">
        <w:t xml:space="preserve"> - </w:t>
      </w:r>
      <w:r w:rsidR="00CD6267" w:rsidRPr="007E4FCB">
        <w:t xml:space="preserve"> monitor interaktywny</w:t>
      </w:r>
      <w:r w:rsidR="00D87BB4" w:rsidRPr="007E4FCB">
        <w:t xml:space="preserve"> -</w:t>
      </w:r>
      <w:r w:rsidR="00CD6267" w:rsidRPr="007E4FCB">
        <w:t xml:space="preserve"> posiada czytnik kart, a  także jaką przekątną ekranu oferuje wykonawca względem artkułu nr 9 – tabletu  dla  nauczyciela.</w:t>
      </w:r>
    </w:p>
    <w:p w14:paraId="4585385B" w14:textId="3C4EE586" w:rsidR="00D87BB4" w:rsidRPr="007E4FCB" w:rsidRDefault="00CD6267" w:rsidP="007E4FCB">
      <w:pPr>
        <w:keepNext/>
        <w:keepLines/>
        <w:widowControl w:val="0"/>
        <w:spacing w:line="360" w:lineRule="auto"/>
        <w:ind w:left="420" w:right="70"/>
        <w:contextualSpacing/>
        <w:jc w:val="both"/>
        <w:rPr>
          <w:sz w:val="27"/>
          <w:szCs w:val="27"/>
          <w:shd w:val="clear" w:color="auto" w:fill="FFFFFF"/>
        </w:rPr>
      </w:pPr>
      <w:r w:rsidRPr="007E4FCB">
        <w:t xml:space="preserve">Odnośnie artykułu nr 7 wykonawca </w:t>
      </w:r>
      <w:r w:rsidR="006C1A58" w:rsidRPr="007E4FCB">
        <w:t>w  karcie katalogowej wskazał, że oferowany monitor  będzie posiadał czytnik  kart (nie podał czy będzie on zintegrowany, czy będzie to tzw</w:t>
      </w:r>
      <w:r w:rsidR="00513E15" w:rsidRPr="007E4FCB">
        <w:t>.</w:t>
      </w:r>
      <w:r w:rsidR="006C1A58" w:rsidRPr="007E4FCB">
        <w:t xml:space="preserve"> czytnik zewnętrzny). Zaoferowany przez wykonawcę model co do zasady nie posiada zintegrowanych czytników kart. Możliwe było że czytnik  ten będzie czytnikiem zewnętrznym i zamawiający  tą wątpliwość rozwiązał.  W</w:t>
      </w:r>
      <w:r w:rsidR="00D87BB4" w:rsidRPr="007E4FCB">
        <w:t xml:space="preserve"> złożonych wyjaśnieniach</w:t>
      </w:r>
      <w:r w:rsidR="006C1A58" w:rsidRPr="007E4FCB">
        <w:t xml:space="preserve"> wykonawca</w:t>
      </w:r>
      <w:r w:rsidR="00D87BB4" w:rsidRPr="007E4FCB">
        <w:t xml:space="preserve"> </w:t>
      </w:r>
      <w:r w:rsidRPr="007E4FCB">
        <w:t>wskazał, że oferowany sprzęt będzie wyposażony w  czytnik kart</w:t>
      </w:r>
      <w:r w:rsidR="006C1A58" w:rsidRPr="007E4FCB">
        <w:t xml:space="preserve"> – kompatybilny z monitorem, zewnętrzny</w:t>
      </w:r>
      <w:r w:rsidRPr="007E4FCB">
        <w:t xml:space="preserve">. </w:t>
      </w:r>
      <w:r w:rsidR="006C1A58" w:rsidRPr="007E4FCB">
        <w:t xml:space="preserve">W tym miejscu </w:t>
      </w:r>
      <w:r w:rsidRPr="007E4FCB">
        <w:t>Zamawiający</w:t>
      </w:r>
      <w:r w:rsidR="006C1A58" w:rsidRPr="007E4FCB">
        <w:t xml:space="preserve"> wyjaśnia, że</w:t>
      </w:r>
      <w:r w:rsidRPr="007E4FCB">
        <w:t xml:space="preserve"> nie wymagał w OPZ zintegrowanego </w:t>
      </w:r>
      <w:r w:rsidR="00D87BB4" w:rsidRPr="007E4FCB">
        <w:t xml:space="preserve">z monitorem </w:t>
      </w:r>
      <w:r w:rsidRPr="007E4FCB">
        <w:t xml:space="preserve">czytnika kart, a  tym  samym  zaoferowania  czynnika  kart </w:t>
      </w:r>
      <w:r w:rsidR="006C1A58" w:rsidRPr="007E4FCB">
        <w:t>zewnętrznego</w:t>
      </w:r>
      <w:r w:rsidRPr="007E4FCB">
        <w:t xml:space="preserve"> </w:t>
      </w:r>
      <w:r w:rsidR="006C1A58" w:rsidRPr="007E4FCB">
        <w:t xml:space="preserve">również </w:t>
      </w:r>
      <w:r w:rsidRPr="007E4FCB">
        <w:t xml:space="preserve">było dopuszczalne. </w:t>
      </w:r>
      <w:r w:rsidR="006C1A58" w:rsidRPr="007E4FCB">
        <w:t>Dodatkowo</w:t>
      </w:r>
      <w:r w:rsidRPr="007E4FCB">
        <w:t xml:space="preserve">  zamawiający wyjaśnia, że w  razie  wątpliwości interpretacyjnych w  zakresie  wymagań stawianych  wykonawcy,  wszelkie postanowienia winny być  interpretowane na korzyść</w:t>
      </w:r>
      <w:r w:rsidR="00D87BB4" w:rsidRPr="007E4FCB">
        <w:t xml:space="preserve"> tego</w:t>
      </w:r>
      <w:r w:rsidRPr="007E4FCB">
        <w:t xml:space="preserve"> wykonawcy</w:t>
      </w:r>
      <w:r w:rsidR="006C1A58" w:rsidRPr="007E4FCB">
        <w:t xml:space="preserve">, co wynika z </w:t>
      </w:r>
      <w:r w:rsidR="00513E15" w:rsidRPr="007E4FCB">
        <w:t>ugruntowanego stanowiska  doktryny i judykatury</w:t>
      </w:r>
      <w:r w:rsidRPr="007E4FCB">
        <w:t>.</w:t>
      </w:r>
      <w:r w:rsidR="002A55DF" w:rsidRPr="007E4FCB">
        <w:rPr>
          <w:sz w:val="27"/>
          <w:szCs w:val="27"/>
          <w:shd w:val="clear" w:color="auto" w:fill="FFFFFF"/>
        </w:rPr>
        <w:t xml:space="preserve"> </w:t>
      </w:r>
    </w:p>
    <w:p w14:paraId="7EC2AA09" w14:textId="77777777" w:rsidR="0056596E" w:rsidRPr="007E4FCB" w:rsidRDefault="002A55DF" w:rsidP="007E4FCB">
      <w:pPr>
        <w:keepNext/>
        <w:keepLines/>
        <w:widowControl w:val="0"/>
        <w:spacing w:line="360" w:lineRule="auto"/>
        <w:ind w:left="420" w:right="70"/>
        <w:contextualSpacing/>
        <w:jc w:val="both"/>
        <w:rPr>
          <w:i/>
          <w:iCs/>
        </w:rPr>
      </w:pPr>
      <w:r w:rsidRPr="007E4FCB">
        <w:t>Krajowa Izba Odwoławcza, w uchwale z dnia 3 sierpnia 2017 r., sygn. akt: KIO/KD 38/17, wskazała, że: </w:t>
      </w:r>
      <w:r w:rsidRPr="007E4FCB">
        <w:rPr>
          <w:i/>
          <w:iCs/>
        </w:rPr>
        <w:t xml:space="preserve">reguła ta wynika z prawniczej </w:t>
      </w:r>
      <w:proofErr w:type="spellStart"/>
      <w:r w:rsidRPr="007E4FCB">
        <w:rPr>
          <w:i/>
          <w:iCs/>
        </w:rPr>
        <w:t>paremii</w:t>
      </w:r>
      <w:proofErr w:type="spellEnd"/>
      <w:r w:rsidRPr="007E4FCB">
        <w:rPr>
          <w:i/>
          <w:iCs/>
        </w:rPr>
        <w:t xml:space="preserve"> in dubio contra </w:t>
      </w:r>
      <w:proofErr w:type="spellStart"/>
      <w:r w:rsidRPr="007E4FCB">
        <w:rPr>
          <w:i/>
          <w:iCs/>
        </w:rPr>
        <w:t>proferentem</w:t>
      </w:r>
      <w:proofErr w:type="spellEnd"/>
      <w:r w:rsidRPr="007E4FCB">
        <w:rPr>
          <w:i/>
          <w:iCs/>
        </w:rPr>
        <w:t xml:space="preserve"> znaczącej w języku polskim „wątpliwości należy tłumaczyć przeciw autorowi”. Nie ulega wątpliwości, że zamawiający jest autorem ogłoszenia o zamówieniu i SIWZ, które zostały zredagowane przez zamawiającego.</w:t>
      </w:r>
    </w:p>
    <w:p w14:paraId="264372EE" w14:textId="049CCA6A" w:rsidR="0056596E" w:rsidRPr="007E4FCB" w:rsidRDefault="002A55DF" w:rsidP="007E4FCB">
      <w:pPr>
        <w:keepNext/>
        <w:keepLines/>
        <w:widowControl w:val="0"/>
        <w:spacing w:line="360" w:lineRule="auto"/>
        <w:ind w:left="420" w:right="70" w:firstLine="60"/>
        <w:contextualSpacing/>
        <w:jc w:val="both"/>
      </w:pPr>
      <w:r w:rsidRPr="007E4FCB">
        <w:t xml:space="preserve">KIO ukazuje związek genetyczny analizowanej reguły z dyrektywą wykładni contra </w:t>
      </w:r>
      <w:proofErr w:type="spellStart"/>
      <w:r w:rsidRPr="007E4FCB">
        <w:t>proferentem</w:t>
      </w:r>
      <w:proofErr w:type="spellEnd"/>
      <w:r w:rsidRPr="007E4FCB">
        <w:t>, która zgodnie z zapatrywaniem przedstawicieli doktryny powinna być stosowana powszechnie, także w profesjonalnym obrocie handlowym, ponieważ ryzyko wieloznaczności wyrażeń powinien ponosić ten, kto wyrażenia formułował (zob. Z. Radwański, Wykładnia oświadczeń woli składanych indywidualnym adresatom, Wrocław 1992, s. 133–134). </w:t>
      </w:r>
    </w:p>
    <w:p w14:paraId="47AD5EB4" w14:textId="77777777" w:rsidR="0056596E" w:rsidRPr="007E4FCB" w:rsidRDefault="002A55DF" w:rsidP="007E4FCB">
      <w:pPr>
        <w:keepNext/>
        <w:keepLines/>
        <w:widowControl w:val="0"/>
        <w:spacing w:line="360" w:lineRule="auto"/>
        <w:ind w:left="420" w:right="70"/>
        <w:contextualSpacing/>
        <w:jc w:val="both"/>
        <w:rPr>
          <w:i/>
          <w:iCs/>
        </w:rPr>
      </w:pPr>
      <w:r w:rsidRPr="007E4FCB">
        <w:lastRenderedPageBreak/>
        <w:t>Takie uzasadnienie dla analizowanej reguły in dubio potwierdza również S</w:t>
      </w:r>
      <w:r w:rsidR="00D87BB4" w:rsidRPr="007E4FCB">
        <w:t xml:space="preserve">ąd </w:t>
      </w:r>
      <w:r w:rsidRPr="007E4FCB">
        <w:t>N</w:t>
      </w:r>
      <w:r w:rsidR="00D87BB4" w:rsidRPr="007E4FCB">
        <w:t>ajwyższy</w:t>
      </w:r>
      <w:r w:rsidRPr="007E4FCB">
        <w:t>, który w wyroku z dnia 4 lipca 2019 r., sygn. akt: IV CSK 363/18, wskazał, że: </w:t>
      </w:r>
      <w:r w:rsidRPr="007E4FCB">
        <w:rPr>
          <w:i/>
          <w:iCs/>
        </w:rPr>
        <w:t xml:space="preserve">to na zamawiającym spoczywa obowiązek pełnego i jednoznacznego opisu przedmiotu zamówienia jeszcze przed wszczęciem postępowania o jego udzielenie. Powinien on więc przygotować niezbędną dokumentację (osobiście lub za pomocą osób trzecich). </w:t>
      </w:r>
    </w:p>
    <w:p w14:paraId="5A822C34" w14:textId="77777777" w:rsidR="0056596E" w:rsidRPr="007E4FCB" w:rsidRDefault="002A55DF" w:rsidP="007E4FCB">
      <w:pPr>
        <w:keepNext/>
        <w:keepLines/>
        <w:widowControl w:val="0"/>
        <w:spacing w:line="360" w:lineRule="auto"/>
        <w:ind w:left="420" w:right="70"/>
        <w:contextualSpacing/>
        <w:jc w:val="both"/>
        <w:rPr>
          <w:i/>
          <w:iCs/>
        </w:rPr>
      </w:pPr>
      <w:r w:rsidRPr="007E4FCB">
        <w:rPr>
          <w:b/>
          <w:bCs/>
          <w:i/>
          <w:iCs/>
        </w:rPr>
        <w:t>Jeżeli powstają wątpliwości co do jednoznaczności postanowień SIWZ (a szerzej: dokumentacji zamawiającego, w oparciu o którą wykonawcy składają oferty), muszą być one rozstrzygane na korzyść wykonawcy</w:t>
      </w:r>
      <w:r w:rsidRPr="007E4FCB">
        <w:rPr>
          <w:i/>
          <w:iCs/>
        </w:rPr>
        <w:t xml:space="preserve">. Przeciwny wniosek byłby sprzeczny z art. 29 ust. 1 </w:t>
      </w:r>
      <w:proofErr w:type="spellStart"/>
      <w:r w:rsidRPr="007E4FCB">
        <w:rPr>
          <w:i/>
          <w:iCs/>
        </w:rPr>
        <w:t>Pzp</w:t>
      </w:r>
      <w:proofErr w:type="spellEnd"/>
      <w:r w:rsidR="00996290" w:rsidRPr="007E4FCB">
        <w:rPr>
          <w:i/>
          <w:iCs/>
        </w:rPr>
        <w:t xml:space="preserve"> (obecnie z art. 99 </w:t>
      </w:r>
      <w:proofErr w:type="spellStart"/>
      <w:r w:rsidR="00996290" w:rsidRPr="007E4FCB">
        <w:rPr>
          <w:i/>
          <w:iCs/>
        </w:rPr>
        <w:t>pzp</w:t>
      </w:r>
      <w:proofErr w:type="spellEnd"/>
      <w:r w:rsidR="00996290" w:rsidRPr="007E4FCB">
        <w:rPr>
          <w:i/>
          <w:iCs/>
        </w:rPr>
        <w:t>)</w:t>
      </w:r>
      <w:r w:rsidRPr="007E4FCB">
        <w:rPr>
          <w:i/>
          <w:iCs/>
        </w:rPr>
        <w:t xml:space="preserve">. W konsekwencji, </w:t>
      </w:r>
      <w:r w:rsidRPr="007E4FCB">
        <w:rPr>
          <w:b/>
          <w:bCs/>
          <w:i/>
          <w:iCs/>
        </w:rPr>
        <w:t>jeżeli dokumentacja sporządzona przez zamawiającego zawiera nieścisłości, nie jest jednoznaczna, nie można negatywnymi skutkami obciążać oferentów</w:t>
      </w:r>
      <w:r w:rsidRPr="007E4FCB">
        <w:rPr>
          <w:i/>
          <w:iCs/>
        </w:rPr>
        <w:t> (a więc potencjalnych wykonawców), ale zamawiającego – jako autora tej dokumentacji. </w:t>
      </w:r>
    </w:p>
    <w:p w14:paraId="4D0C4763" w14:textId="77777777" w:rsidR="00513E15" w:rsidRPr="007E4FCB" w:rsidRDefault="002A55DF" w:rsidP="007E4FCB">
      <w:pPr>
        <w:keepNext/>
        <w:keepLines/>
        <w:widowControl w:val="0"/>
        <w:spacing w:line="360" w:lineRule="auto"/>
        <w:ind w:left="420" w:right="70"/>
        <w:contextualSpacing/>
        <w:jc w:val="both"/>
      </w:pPr>
      <w:r w:rsidRPr="007E4FCB">
        <w:br/>
        <w:t xml:space="preserve">Sąd Okręgowy w Szczecinie wskazał ponadto, że obowiązywanie reguły interpretacyjnej „na korzyść wykonawcy” uzasadnia także jej związek z wyrażoną w art. 7 ust. 1 </w:t>
      </w:r>
      <w:proofErr w:type="spellStart"/>
      <w:r w:rsidRPr="007E4FCB">
        <w:t>Pzp</w:t>
      </w:r>
      <w:proofErr w:type="spellEnd"/>
      <w:r w:rsidR="00996290" w:rsidRPr="007E4FCB">
        <w:t xml:space="preserve"> (obecnie art. 16 </w:t>
      </w:r>
      <w:proofErr w:type="spellStart"/>
      <w:r w:rsidR="00996290" w:rsidRPr="007E4FCB">
        <w:t>pzp</w:t>
      </w:r>
      <w:proofErr w:type="spellEnd"/>
      <w:r w:rsidR="00996290" w:rsidRPr="007E4FCB">
        <w:t>)</w:t>
      </w:r>
      <w:r w:rsidRPr="007E4FCB">
        <w:t> </w:t>
      </w:r>
      <w:r w:rsidRPr="007E4FCB">
        <w:rPr>
          <w:i/>
          <w:iCs/>
        </w:rPr>
        <w:t xml:space="preserve">kwestią przejrzystości, która oznacza również </w:t>
      </w:r>
      <w:r w:rsidRPr="007E4FCB">
        <w:rPr>
          <w:b/>
          <w:bCs/>
          <w:i/>
          <w:iCs/>
        </w:rPr>
        <w:t>zakaz wyciągania negatywnych konsekwencji wobec wykonawcy wskutek niedopełnienia przez niego obowiązku, który nie wynika wyraźnie z</w:t>
      </w:r>
      <w:r w:rsidR="0056596E" w:rsidRPr="007E4FCB">
        <w:rPr>
          <w:b/>
          <w:bCs/>
          <w:i/>
          <w:iCs/>
        </w:rPr>
        <w:t xml:space="preserve"> </w:t>
      </w:r>
      <w:r w:rsidRPr="007E4FCB">
        <w:rPr>
          <w:b/>
          <w:bCs/>
          <w:i/>
          <w:iCs/>
        </w:rPr>
        <w:t>dokumentacji przetargowej</w:t>
      </w:r>
      <w:r w:rsidRPr="007E4FCB">
        <w:rPr>
          <w:i/>
          <w:iCs/>
        </w:rPr>
        <w:t xml:space="preserve"> lub obowiązujących przepisów prawa krajowego, lecz jedynie z wykładni tych przepisów lub dokumentacji, a także z uzupełniania przez krajowe organy lub sądownictwo występujących w tej dokumentacji luk</w:t>
      </w:r>
      <w:r w:rsidRPr="007E4FCB">
        <w:t> (wyrok SO w Szczecinie z dnia 7 marca 2018 r.,</w:t>
      </w:r>
      <w:proofErr w:type="spellStart"/>
      <w:r w:rsidRPr="007E4FCB">
        <w:t>sygn</w:t>
      </w:r>
      <w:proofErr w:type="spellEnd"/>
      <w:r w:rsidRPr="007E4FCB">
        <w:t>. akt: VIII Ga 102/18, z szerokim powołaniem na orzecznictwo TSUE). </w:t>
      </w:r>
    </w:p>
    <w:p w14:paraId="1F414B31" w14:textId="6B1B6D04" w:rsidR="00CD6267" w:rsidRPr="007E4FCB" w:rsidRDefault="002A55DF" w:rsidP="007E4FCB">
      <w:pPr>
        <w:keepNext/>
        <w:keepLines/>
        <w:widowControl w:val="0"/>
        <w:spacing w:line="360" w:lineRule="auto"/>
        <w:ind w:left="420" w:right="70"/>
        <w:contextualSpacing/>
        <w:jc w:val="both"/>
      </w:pPr>
      <w:r w:rsidRPr="007E4FCB">
        <w:t>Powyższe stanowisko  ugruntowane jest w orzec</w:t>
      </w:r>
      <w:r w:rsidR="0056596E" w:rsidRPr="007E4FCB">
        <w:t>znic</w:t>
      </w:r>
      <w:r w:rsidRPr="007E4FCB">
        <w:t xml:space="preserve">twie  Krajowej Izby  </w:t>
      </w:r>
      <w:r w:rsidR="0056596E" w:rsidRPr="007E4FCB">
        <w:t>O</w:t>
      </w:r>
      <w:r w:rsidRPr="007E4FCB">
        <w:t xml:space="preserve">dwoławczej ( wyrok z dnia 14.08.2019 , KIO1463/19, wyrok z dnia 02.12.2019 r, KIO 2284/19 i KIO 2288/19, wyrok z dnia 18.10.2019 </w:t>
      </w:r>
      <w:r w:rsidR="00E32A4A" w:rsidRPr="007E4FCB">
        <w:t>, KIO 1967/19, wyrok  KIO z dnia 03.10.2019 r. KIO 1827/19.)</w:t>
      </w:r>
      <w:r w:rsidRPr="007E4FCB">
        <w:t xml:space="preserve"> </w:t>
      </w:r>
    </w:p>
    <w:p w14:paraId="16321A4E" w14:textId="77777777" w:rsidR="00513E15" w:rsidRPr="007E4FCB" w:rsidRDefault="00513E15" w:rsidP="007E4FCB">
      <w:pPr>
        <w:keepNext/>
        <w:keepLines/>
        <w:widowControl w:val="0"/>
        <w:spacing w:line="360" w:lineRule="auto"/>
        <w:ind w:left="420" w:right="70"/>
        <w:contextualSpacing/>
        <w:jc w:val="both"/>
        <w:rPr>
          <w:i/>
          <w:iCs/>
        </w:rPr>
      </w:pPr>
    </w:p>
    <w:p w14:paraId="54B6297B" w14:textId="669DAC0E" w:rsidR="002A55DF" w:rsidRPr="007E4FCB" w:rsidRDefault="00E32A4A" w:rsidP="007E4FCB">
      <w:pPr>
        <w:keepNext/>
        <w:keepLines/>
        <w:widowControl w:val="0"/>
        <w:spacing w:line="360" w:lineRule="auto"/>
        <w:ind w:left="420" w:right="70"/>
        <w:contextualSpacing/>
        <w:jc w:val="both"/>
      </w:pPr>
      <w:r w:rsidRPr="007E4FCB">
        <w:lastRenderedPageBreak/>
        <w:t>Odnośnie wątpliwości w odniesieniu do przekątnej ekranu w laptopie dla nauczyciela (artykuł 9), Zamawiający wymagał</w:t>
      </w:r>
      <w:r w:rsidR="00513E15" w:rsidRPr="007E4FCB">
        <w:t>,</w:t>
      </w:r>
      <w:r w:rsidRPr="007E4FCB">
        <w:t xml:space="preserve"> aby przekątna wynosi</w:t>
      </w:r>
      <w:r w:rsidR="0056596E" w:rsidRPr="007E4FCB">
        <w:t>ł</w:t>
      </w:r>
      <w:r w:rsidRPr="007E4FCB">
        <w:t>a</w:t>
      </w:r>
      <w:r w:rsidRPr="007E4FCB">
        <w:rPr>
          <w:i/>
          <w:iCs/>
        </w:rPr>
        <w:t xml:space="preserve"> minimum</w:t>
      </w:r>
      <w:r w:rsidRPr="007E4FCB">
        <w:t xml:space="preserve"> 10 cali (każda większa przekątna była zatem akceptowana). </w:t>
      </w:r>
      <w:r w:rsidR="0056596E" w:rsidRPr="007E4FCB">
        <w:t>W treści załączonego przez wykonawcę do oferty</w:t>
      </w:r>
      <w:r w:rsidRPr="007E4FCB">
        <w:t xml:space="preserve"> przedmioto</w:t>
      </w:r>
      <w:r w:rsidR="0056596E" w:rsidRPr="007E4FCB">
        <w:t>wego</w:t>
      </w:r>
      <w:r w:rsidRPr="007E4FCB">
        <w:t xml:space="preserve"> środk</w:t>
      </w:r>
      <w:r w:rsidR="0056596E" w:rsidRPr="007E4FCB">
        <w:t>a</w:t>
      </w:r>
      <w:r w:rsidRPr="007E4FCB">
        <w:t xml:space="preserve"> dowodo</w:t>
      </w:r>
      <w:r w:rsidR="0056596E" w:rsidRPr="007E4FCB">
        <w:t>wego (karty katalogowej / specyfikacji sprzętu)</w:t>
      </w:r>
      <w:r w:rsidRPr="007E4FCB">
        <w:t xml:space="preserve"> dotycząc</w:t>
      </w:r>
      <w:r w:rsidR="0056596E" w:rsidRPr="007E4FCB">
        <w:t>ego</w:t>
      </w:r>
      <w:r w:rsidRPr="007E4FCB">
        <w:t xml:space="preserve"> tego laptopa</w:t>
      </w:r>
      <w:r w:rsidR="00513E15" w:rsidRPr="007E4FCB">
        <w:t>,</w:t>
      </w:r>
      <w:r w:rsidRPr="007E4FCB">
        <w:t xml:space="preserve"> wykonawca raz zasugerował, że przekątna </w:t>
      </w:r>
      <w:r w:rsidR="00DE59DE" w:rsidRPr="007E4FCB">
        <w:t xml:space="preserve">ekranu </w:t>
      </w:r>
      <w:r w:rsidRPr="007E4FCB">
        <w:t>będzie miała 13 cali  - wskazał bowiem nazwę</w:t>
      </w:r>
      <w:r w:rsidR="00DE59DE" w:rsidRPr="007E4FCB">
        <w:t xml:space="preserve"> sprzętu</w:t>
      </w:r>
      <w:r w:rsidRPr="007E4FCB">
        <w:t xml:space="preserve"> </w:t>
      </w:r>
      <w:r w:rsidR="00DE59DE" w:rsidRPr="007E4FCB">
        <w:t>„</w:t>
      </w:r>
      <w:r w:rsidRPr="007E4FCB">
        <w:t xml:space="preserve">Lenovo Yoga </w:t>
      </w:r>
      <w:proofErr w:type="spellStart"/>
      <w:r w:rsidRPr="007E4FCB">
        <w:t>Tab</w:t>
      </w:r>
      <w:proofErr w:type="spellEnd"/>
      <w:r w:rsidRPr="007E4FCB">
        <w:t xml:space="preserve"> 13</w:t>
      </w:r>
      <w:r w:rsidR="00DE59DE" w:rsidRPr="007E4FCB">
        <w:t>”</w:t>
      </w:r>
      <w:r w:rsidRPr="007E4FCB">
        <w:t xml:space="preserve"> , która odnosiła się do modelu o przekątnej 13 cali (cyfra 13 przy nazwie dotyczy przekątnej)</w:t>
      </w:r>
      <w:r w:rsidR="00DE59DE" w:rsidRPr="007E4FCB">
        <w:t>, a</w:t>
      </w:r>
      <w:r w:rsidRPr="007E4FCB">
        <w:t xml:space="preserve"> </w:t>
      </w:r>
      <w:r w:rsidR="00DE59DE" w:rsidRPr="007E4FCB">
        <w:t>w</w:t>
      </w:r>
      <w:r w:rsidRPr="007E4FCB">
        <w:t xml:space="preserve"> innym miejscu wskazał, że przekątna to 10 cali. </w:t>
      </w:r>
    </w:p>
    <w:p w14:paraId="57D0726C" w14:textId="49DE7AC3" w:rsidR="00E32A4A" w:rsidRPr="007E4FCB" w:rsidRDefault="00E32A4A" w:rsidP="007E4FCB">
      <w:pPr>
        <w:keepNext/>
        <w:keepLines/>
        <w:widowControl w:val="0"/>
        <w:spacing w:line="360" w:lineRule="auto"/>
        <w:ind w:left="420" w:right="70"/>
        <w:contextualSpacing/>
        <w:jc w:val="both"/>
      </w:pPr>
      <w:r w:rsidRPr="007E4FCB">
        <w:t>Zarówno laptop z przekątną 10 cali jak i 13 cali jest zgodny z Opisem przedmiotu zamówienia, a zamawiający jedynie w celu rozwiania wątpliwości</w:t>
      </w:r>
      <w:r w:rsidR="00513E15" w:rsidRPr="007E4FCB">
        <w:t>,</w:t>
      </w:r>
      <w:r w:rsidRPr="007E4FCB">
        <w:t xml:space="preserve"> co do braku spójności w treści  dokumentu  wystąpił  o wyjaśnienie  tej  kwestii.</w:t>
      </w:r>
    </w:p>
    <w:p w14:paraId="5253D45B" w14:textId="1464021F" w:rsidR="00E32A4A" w:rsidRPr="007E4FCB" w:rsidRDefault="00E32A4A" w:rsidP="007E4FCB">
      <w:pPr>
        <w:keepNext/>
        <w:keepLines/>
        <w:widowControl w:val="0"/>
        <w:spacing w:line="360" w:lineRule="auto"/>
        <w:ind w:left="420" w:right="70"/>
        <w:contextualSpacing/>
        <w:jc w:val="both"/>
      </w:pPr>
      <w:r w:rsidRPr="007E4FCB">
        <w:t xml:space="preserve">Obie niejasności zostały rozstrzygnięte i zamawiający ustalił, że  wykonawca  zaoferował sprzęt zgody z  wymaganiami. </w:t>
      </w:r>
    </w:p>
    <w:p w14:paraId="339E1B24" w14:textId="77777777" w:rsidR="002A55DF" w:rsidRPr="007E4FCB" w:rsidRDefault="002A55DF" w:rsidP="007E4FCB">
      <w:pPr>
        <w:keepNext/>
        <w:keepLines/>
        <w:widowControl w:val="0"/>
        <w:spacing w:line="360" w:lineRule="auto"/>
        <w:ind w:left="420" w:right="70"/>
        <w:contextualSpacing/>
        <w:jc w:val="both"/>
      </w:pPr>
    </w:p>
    <w:p w14:paraId="532BADC5" w14:textId="77777777" w:rsidR="00FF2D2B" w:rsidRPr="007E4FCB" w:rsidRDefault="00FF2D2B" w:rsidP="007E4FCB">
      <w:pPr>
        <w:keepNext/>
        <w:keepLines/>
        <w:widowControl w:val="0"/>
        <w:numPr>
          <w:ilvl w:val="0"/>
          <w:numId w:val="13"/>
        </w:numPr>
        <w:spacing w:line="360" w:lineRule="auto"/>
        <w:ind w:right="70"/>
        <w:contextualSpacing/>
        <w:jc w:val="both"/>
      </w:pPr>
      <w:r w:rsidRPr="007E4FCB">
        <w:t>oferta nie podlega odrzuceniu na podstawie art. 226 ust. 1 Ustawy,</w:t>
      </w:r>
    </w:p>
    <w:p w14:paraId="4DB6363B" w14:textId="77777777" w:rsidR="00FF2D2B" w:rsidRPr="007E4FCB" w:rsidRDefault="00FF2D2B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 xml:space="preserve"> c) oferta została oceniona jako najkorzystniejsza na podstawie przyjętych w SWZ kryteriów oceny ofert. </w:t>
      </w:r>
    </w:p>
    <w:p w14:paraId="624B6334" w14:textId="38313F5A" w:rsidR="00FF2D2B" w:rsidRPr="007E4FCB" w:rsidRDefault="00FF2D2B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 xml:space="preserve">Wybrana oferta jw. otrzymała: 60,00 punktów w zakresie kryterium „Cena” = 60,00% oraz 40,00 punktów w kryterium „Przedłużenie okresu  gwarancji i rękojmi” = 40,00%, co łącznie dało 100,00 punktów </w:t>
      </w:r>
    </w:p>
    <w:p w14:paraId="54582AFF" w14:textId="55766788" w:rsidR="009153AC" w:rsidRPr="007E4FCB" w:rsidRDefault="009153AC" w:rsidP="007E4FC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70BA5AC8" w14:textId="77777777" w:rsidR="00200CDE" w:rsidRPr="007E4FCB" w:rsidRDefault="009153AC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 xml:space="preserve">Zamawiający odrzucił ofertę  wykonawcy Przedsiębiorstwo Optimus sp. z o.o. </w:t>
      </w:r>
      <w:r w:rsidR="00200CDE" w:rsidRPr="007E4FCB">
        <w:t xml:space="preserve">na podstawie  art. 226 ust 1 pkt 5 </w:t>
      </w:r>
      <w:proofErr w:type="spellStart"/>
      <w:r w:rsidR="00200CDE" w:rsidRPr="007E4FCB">
        <w:t>pzp</w:t>
      </w:r>
      <w:proofErr w:type="spellEnd"/>
      <w:r w:rsidR="00200CDE" w:rsidRPr="007E4FCB">
        <w:t xml:space="preserve"> – </w:t>
      </w:r>
      <w:proofErr w:type="spellStart"/>
      <w:r w:rsidR="00200CDE" w:rsidRPr="007E4FCB">
        <w:t>tj</w:t>
      </w:r>
      <w:proofErr w:type="spellEnd"/>
      <w:r w:rsidR="00200CDE" w:rsidRPr="007E4FCB">
        <w:t xml:space="preserve">  treść oferty wykonawcy  jest niezgodna  z warunkami  zamówienia – zaoferowany przez wykonawcę  sprzęt  jest niezgodny z  wymaganiami postawionymi w  OPZ. </w:t>
      </w:r>
    </w:p>
    <w:p w14:paraId="2E48F039" w14:textId="77777777" w:rsidR="00FE1860" w:rsidRPr="007E4FCB" w:rsidRDefault="00200CDE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 xml:space="preserve">Zgodnie z  art. 106 </w:t>
      </w:r>
      <w:proofErr w:type="spellStart"/>
      <w:r w:rsidRPr="007E4FCB">
        <w:t>pzp</w:t>
      </w:r>
      <w:proofErr w:type="spellEnd"/>
      <w:r w:rsidRPr="007E4FCB">
        <w:t xml:space="preserve"> ( rozdział III pkt 4  SWZ) wykonawcy byli zobligowani  do  złożenia  wraz z  ofertą przedmiotowych środków  dowodowych, celem wykazania, że oferowany przez nich sprzęt jest  zgodny z  wymaganiami  Zamawiającego. </w:t>
      </w:r>
    </w:p>
    <w:p w14:paraId="3A6E9FA7" w14:textId="7EF1FD26" w:rsidR="009153AC" w:rsidRPr="007E4FCB" w:rsidRDefault="00FE1860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lastRenderedPageBreak/>
        <w:t>Szczegółowe</w:t>
      </w:r>
      <w:r w:rsidR="00200CDE" w:rsidRPr="007E4FCB">
        <w:t xml:space="preserve"> </w:t>
      </w:r>
      <w:r w:rsidRPr="007E4FCB">
        <w:t>wymagania</w:t>
      </w:r>
      <w:r w:rsidR="00200CDE" w:rsidRPr="007E4FCB">
        <w:t xml:space="preserve">  </w:t>
      </w:r>
      <w:r w:rsidRPr="007E4FCB">
        <w:t xml:space="preserve">dotyczące sprzętu IT </w:t>
      </w:r>
      <w:r w:rsidR="00200CDE" w:rsidRPr="007E4FCB">
        <w:t>zostały wymienione w  Opisie przedmiotu zam</w:t>
      </w:r>
      <w:r w:rsidRPr="007E4FCB">
        <w:t xml:space="preserve">ówienia (załącznik nr 1 do  SWZ  - który stanowi  integralną jego  część). </w:t>
      </w:r>
      <w:r w:rsidR="00200CDE" w:rsidRPr="007E4FCB">
        <w:t xml:space="preserve"> </w:t>
      </w:r>
      <w:r w:rsidRPr="007E4FCB">
        <w:t xml:space="preserve">Zamawiający przewidział w dokumentacji zamówienia ( w  rozdział III pkt 4.2 SWZ), zgodnie z art. 106 </w:t>
      </w:r>
      <w:proofErr w:type="spellStart"/>
      <w:r w:rsidRPr="007E4FCB">
        <w:t>pzp</w:t>
      </w:r>
      <w:proofErr w:type="spellEnd"/>
      <w:r w:rsidRPr="007E4FCB">
        <w:t xml:space="preserve">, że </w:t>
      </w:r>
      <w:r w:rsidRPr="007E4FCB">
        <w:rPr>
          <w:i/>
          <w:iCs/>
        </w:rPr>
        <w:t>„jeżeli wykonawca nie złoży powyższych przedmiotowych środków dowodowych lub złożone środki dowodowe będą niekompletne, zamawiający wezwie do ich złożenia lub uzupełnienie w wyznaczonym terminie”.</w:t>
      </w:r>
      <w:r w:rsidR="00513E15" w:rsidRPr="007E4FCB">
        <w:rPr>
          <w:i/>
          <w:iCs/>
        </w:rPr>
        <w:t xml:space="preserve"> </w:t>
      </w:r>
      <w:r w:rsidR="00513E15" w:rsidRPr="007E4FCB">
        <w:t xml:space="preserve">Wykonawca Optimus do oferty nie załączył przedmiotowych </w:t>
      </w:r>
      <w:r w:rsidR="00AA494A" w:rsidRPr="007E4FCB">
        <w:t>środków</w:t>
      </w:r>
      <w:r w:rsidR="00513E15" w:rsidRPr="007E4FCB">
        <w:t xml:space="preserve">  dowodowych,   zatem  zgodnie z  pkt 4.2 rozdział III SWZ wezwał wykonawcę do złożenia w/w dokumentów.</w:t>
      </w:r>
      <w:r w:rsidRPr="007E4FCB">
        <w:rPr>
          <w:i/>
          <w:iCs/>
        </w:rPr>
        <w:t xml:space="preserve"> </w:t>
      </w:r>
      <w:r w:rsidRPr="007E4FCB">
        <w:t>Na wezwanie Zamawiającego wykonawca OPTIMUS złożył</w:t>
      </w:r>
      <w:r w:rsidR="00513E15" w:rsidRPr="007E4FCB">
        <w:t xml:space="preserve"> w zakreślonym terminie</w:t>
      </w:r>
      <w:r w:rsidRPr="007E4FCB">
        <w:t xml:space="preserve"> karty katalogowe oferowanego sprzętu. Po ich weryfikacji Zamawiający stwierdził, że część </w:t>
      </w:r>
      <w:r w:rsidR="00513E15" w:rsidRPr="007E4FCB">
        <w:t>sprzętu</w:t>
      </w:r>
      <w:r w:rsidRPr="007E4FCB">
        <w:t xml:space="preserve"> nie  spełnia wymagań Zamawiającego</w:t>
      </w:r>
      <w:r w:rsidR="00513E15" w:rsidRPr="007E4FCB">
        <w:t>.</w:t>
      </w:r>
    </w:p>
    <w:p w14:paraId="14C72E2A" w14:textId="3D2F06CC" w:rsidR="00AA494A" w:rsidRPr="007E4FCB" w:rsidRDefault="00AA494A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 xml:space="preserve">Zgodnie z OPZ Zamawiający wymagał, aby artykuł 4  - Monitor do zestawu komputerowego - </w:t>
      </w:r>
    </w:p>
    <w:p w14:paraId="2866FAAC" w14:textId="1C1B99C0" w:rsidR="00AA494A" w:rsidRPr="007E4FCB" w:rsidRDefault="00AA494A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>posiadał m.in. zasilacz wbudowany w</w:t>
      </w:r>
      <w:r w:rsidR="00FD2AB7" w:rsidRPr="007E4FCB">
        <w:t xml:space="preserve"> </w:t>
      </w:r>
      <w:r w:rsidRPr="007E4FCB">
        <w:t>monitor</w:t>
      </w:r>
      <w:r w:rsidR="00FD2AB7" w:rsidRPr="007E4FCB">
        <w:t xml:space="preserve"> </w:t>
      </w:r>
      <w:r w:rsidRPr="007E4FCB">
        <w:t>z wyjmowanym kablem zasilającym</w:t>
      </w:r>
      <w:r w:rsidR="00FD2AB7" w:rsidRPr="007E4FCB">
        <w:t xml:space="preserve">. </w:t>
      </w:r>
      <w:r w:rsidRPr="007E4FCB">
        <w:t>Zgodnie ze złożoną</w:t>
      </w:r>
      <w:r w:rsidR="00FD2AB7" w:rsidRPr="007E4FCB">
        <w:t xml:space="preserve"> przez wykonawcę Optimus</w:t>
      </w:r>
      <w:r w:rsidRPr="007E4FCB">
        <w:t xml:space="preserve"> kartą produktu</w:t>
      </w:r>
      <w:r w:rsidR="00FD2AB7" w:rsidRPr="007E4FCB">
        <w:t xml:space="preserve"> zaoferowanego</w:t>
      </w:r>
      <w:r w:rsidRPr="007E4FCB">
        <w:t xml:space="preserve"> monitora</w:t>
      </w:r>
      <w:r w:rsidR="00FD2AB7" w:rsidRPr="007E4FCB">
        <w:t>:</w:t>
      </w:r>
      <w:r w:rsidRPr="007E4FCB">
        <w:t xml:space="preserve"> AOC U27V4EA posiada on zasilanie</w:t>
      </w:r>
      <w:r w:rsidR="00FD2AB7" w:rsidRPr="007E4FCB">
        <w:t xml:space="preserve"> </w:t>
      </w:r>
      <w:r w:rsidRPr="007E4FCB">
        <w:t>zewnętrzne (czyli zasilacz nie jest wbudowany w monitor)</w:t>
      </w:r>
      <w:r w:rsidR="00FD2AB7" w:rsidRPr="007E4FCB">
        <w:t xml:space="preserve">. </w:t>
      </w:r>
    </w:p>
    <w:p w14:paraId="49E886D0" w14:textId="1B044D1F" w:rsidR="00AA494A" w:rsidRPr="007E4FCB" w:rsidRDefault="00377066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>Ponadto, Zamawiający wymagał, aby a</w:t>
      </w:r>
      <w:r w:rsidR="00AA494A" w:rsidRPr="007E4FCB">
        <w:t xml:space="preserve">rtykuł 12 </w:t>
      </w:r>
      <w:r w:rsidRPr="007E4FCB">
        <w:t xml:space="preserve"> - </w:t>
      </w:r>
      <w:r w:rsidR="00AA494A" w:rsidRPr="007E4FCB">
        <w:t>Urządzenia mobilne do testowania aplikacji – smartphone</w:t>
      </w:r>
      <w:r w:rsidRPr="007E4FCB">
        <w:t xml:space="preserve"> - </w:t>
      </w:r>
      <w:r w:rsidR="00AA494A" w:rsidRPr="007E4FCB">
        <w:t>m.in wspierał transmisję 5G</w:t>
      </w:r>
      <w:r w:rsidRPr="007E4FCB">
        <w:t>.</w:t>
      </w:r>
    </w:p>
    <w:p w14:paraId="3A6738F4" w14:textId="335542C0" w:rsidR="00F97F2F" w:rsidRDefault="00AA494A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>Zgodnie ze złożoną przez Wykonawcę kartą produktu smartfon Samsung Galaxy S20FE G780G 6/128GB</w:t>
      </w:r>
      <w:r w:rsidR="00377066" w:rsidRPr="007E4FCB">
        <w:t xml:space="preserve"> </w:t>
      </w:r>
      <w:r w:rsidRPr="007E4FCB">
        <w:t>nie obsługuje łączności 5G</w:t>
      </w:r>
      <w:r w:rsidR="00377066" w:rsidRPr="007E4FCB">
        <w:t xml:space="preserve">. </w:t>
      </w:r>
      <w:r w:rsidRPr="007E4FCB">
        <w:t>Potwierdzają to również oficjalne dane techniczne producenta Samsung</w:t>
      </w:r>
      <w:r w:rsidR="00377066" w:rsidRPr="007E4FCB">
        <w:t xml:space="preserve"> </w:t>
      </w:r>
      <w:hyperlink r:id="rId8" w:history="1">
        <w:r w:rsidR="00F97F2F" w:rsidRPr="001A0E03">
          <w:rPr>
            <w:rStyle w:val="Hipercze"/>
          </w:rPr>
          <w:t>https://www.samsung.com/pl/smartphones/galaxy-s20/specs/</w:t>
        </w:r>
      </w:hyperlink>
    </w:p>
    <w:p w14:paraId="019FA572" w14:textId="412228CA" w:rsidR="00F97F2F" w:rsidRPr="007E4FCB" w:rsidRDefault="00F97F2F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>
        <w:t>Zamawiający może wzywać wykonawcę w przypadku złożenia niekompletnych środków dowodowych, lub wzywać wykonawcę do wyjaśnienia  niejasności</w:t>
      </w:r>
      <w:r w:rsidR="00390633">
        <w:t xml:space="preserve"> (art. 107 </w:t>
      </w:r>
      <w:proofErr w:type="spellStart"/>
      <w:r w:rsidR="00390633">
        <w:t>pzp</w:t>
      </w:r>
      <w:proofErr w:type="spellEnd"/>
      <w:r w:rsidR="00390633">
        <w:t>)</w:t>
      </w:r>
      <w:r>
        <w:t xml:space="preserve">. W niniejszym przypadku </w:t>
      </w:r>
      <w:r w:rsidR="00390633">
        <w:t>Zamawiający</w:t>
      </w:r>
      <w:r>
        <w:t xml:space="preserve"> nie </w:t>
      </w:r>
      <w:r w:rsidR="00390633">
        <w:t xml:space="preserve">mógł wzywać wykonawcy do „wymiany kart”, bowiem byłoby to niedozwolona zmiana  treści oferty w rozumieniu  ustawy prawo  zamówień publicznych. Niezgodność oferowanego sprzętu nie budziła wątpliwości  zamawiającego, bowiem  wykonawca  sam złożył dokumenty potwierdzające tą niezgodność. </w:t>
      </w:r>
    </w:p>
    <w:p w14:paraId="1CE2672B" w14:textId="77777777" w:rsidR="00AA494A" w:rsidRPr="007E4FCB" w:rsidRDefault="00AA494A" w:rsidP="007E4FC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01299FB4" w14:textId="294EA8CD" w:rsidR="00FF2D2B" w:rsidRPr="007E4FCB" w:rsidRDefault="007E4FCB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lastRenderedPageBreak/>
        <w:t>Powyższe potwierdza niezgodność zaoferowanego sprzętu z wymaganiami Zamawiającego. W doktrynie i orzecznictwie przyjmuje się, że niezgodność treści oferty z warunkami zamówienia polega na sporządzeniu i przedstawieniu oferty w sposób nieodpowiadający wymaganiom zamawiającego w odniesieniu do przedmiotu zamówienia, sposobu jego realizacji oraz innych warunków zamówienia.</w:t>
      </w:r>
    </w:p>
    <w:p w14:paraId="119B24F8" w14:textId="75311C5A" w:rsidR="007E4FCB" w:rsidRPr="007E4FCB" w:rsidRDefault="007E4FCB" w:rsidP="007E4FCB">
      <w:pPr>
        <w:keepNext/>
        <w:keepLines/>
        <w:shd w:val="clear" w:color="auto" w:fill="FFFFFF"/>
        <w:suppressAutoHyphens w:val="0"/>
        <w:spacing w:after="150" w:line="360" w:lineRule="auto"/>
        <w:jc w:val="both"/>
      </w:pPr>
      <w:r w:rsidRPr="007E4FCB">
        <w:t xml:space="preserve">„Treść oferty” to treść zobowiązania wykonawcy do zgodnego z żądaniami zamawiającego wykonania przedmiotu zamówienia publicznego. Na tak rozumianą treść oferty składa się formularz ofertowy oraz wszystkie dokumenty dookreślające i precyzujące zobowiązanie wykonawcy dotyczące przedmiotu oraz zakresu lub wielkości zamówienia, składane wraz z formularzem ofertowym np. przedmiotowe środki dowodowe. </w:t>
      </w:r>
    </w:p>
    <w:p w14:paraId="1EB5BA14" w14:textId="77777777" w:rsidR="007E4FCB" w:rsidRPr="007E4FCB" w:rsidRDefault="007E4FCB" w:rsidP="007E4FCB">
      <w:pPr>
        <w:keepNext/>
        <w:keepLines/>
        <w:shd w:val="clear" w:color="auto" w:fill="FFFFFF"/>
        <w:suppressAutoHyphens w:val="0"/>
        <w:spacing w:after="150" w:line="360" w:lineRule="auto"/>
        <w:jc w:val="both"/>
      </w:pPr>
      <w:r w:rsidRPr="007E4FCB">
        <w:t>Treścią oferty jest zarówno opis i charakterystyka wymaganych elementów w formularzu ofertowym, jak i określenie modeli, ilości i cen w formularzu cenowym (zob. wyrok z dnia 30 października 2014 r., KIO 2121/14; KIO 2129/14; KIO 2139/14.</w:t>
      </w:r>
    </w:p>
    <w:p w14:paraId="3CB060B1" w14:textId="77777777" w:rsidR="007E4FCB" w:rsidRPr="007E4FCB" w:rsidRDefault="007E4FCB" w:rsidP="007E4FCB">
      <w:pPr>
        <w:keepNext/>
        <w:keepLines/>
        <w:shd w:val="clear" w:color="auto" w:fill="FFFFFF"/>
        <w:suppressAutoHyphens w:val="0"/>
        <w:spacing w:after="150" w:line="360" w:lineRule="auto"/>
        <w:jc w:val="both"/>
      </w:pPr>
      <w:r w:rsidRPr="007E4FCB">
        <w:t>Niezgodność treści oferty z warunkami zamówienia polega zatem na niezgodności zobowiązania, które wykonawca wyraża w swojej ofercie i przez jej złożenie na siebie przyjmuje, z zakresem zobowiązania, które zamawiający opisał w SWZ i którego przyjęcia oczekuje. Niezgodność treści oferty z treścią SWZ ma miejsce w sytuacji, gdy oferta nie odpowiada w pełni przedmiotowi zamówienia, nie zapewniając jego realizacji w całości zgodnie z wymogami zamawiającego (por. wyrok z dnia 24 października 2008 r., KIO/UZP 1093/08). </w:t>
      </w:r>
    </w:p>
    <w:p w14:paraId="557A2E75" w14:textId="77777777" w:rsidR="007E4FCB" w:rsidRPr="007E4FCB" w:rsidRDefault="007E4FCB" w:rsidP="007E4FCB">
      <w:pPr>
        <w:keepNext/>
        <w:keepLines/>
        <w:shd w:val="clear" w:color="auto" w:fill="FFFFFF"/>
        <w:suppressAutoHyphens w:val="0"/>
        <w:spacing w:after="150" w:line="360" w:lineRule="auto"/>
        <w:jc w:val="both"/>
      </w:pPr>
      <w:r w:rsidRPr="007E4FCB">
        <w:t>W orzecznictwie Krajowej Izby Odwoławczej podkreśla się, że niezgodność treści oferty z treścią specyfikacji istotnych warunków zamówienia powinna być oceniania z uwzględnieniem definicji oferty zawartej w art. 66 k.c., tj. niezgodności oświadczenia woli wykonawcy z oczekiwaniami zamawiającego, odnoszącymi się do merytorycznego zakresu przedmiotu zamówienia, a więc materialnej sprzeczności zakresu zobowiązania zawartego w ofercie z zakresem zobowiązania, którego zamawiający oczekuje, zgodnie z postanowieniami specyfikacji istotnych warunków zamówienia.</w:t>
      </w:r>
    </w:p>
    <w:p w14:paraId="526D1369" w14:textId="3D8E9449" w:rsidR="00390633" w:rsidRPr="007E4FCB" w:rsidRDefault="007E4FCB" w:rsidP="00390633">
      <w:pPr>
        <w:keepNext/>
        <w:keepLines/>
        <w:shd w:val="clear" w:color="auto" w:fill="FFFFFF"/>
        <w:suppressAutoHyphens w:val="0"/>
        <w:spacing w:after="150" w:line="360" w:lineRule="auto"/>
        <w:jc w:val="both"/>
      </w:pPr>
      <w:r w:rsidRPr="007E4FCB">
        <w:lastRenderedPageBreak/>
        <w:t xml:space="preserve">Odrzucenie oferty na podstawie przepisu art. 226 ust. 1 pkt 5 ustawy </w:t>
      </w:r>
      <w:proofErr w:type="spellStart"/>
      <w:r w:rsidRPr="007E4FCB">
        <w:t>Pzp</w:t>
      </w:r>
      <w:proofErr w:type="spellEnd"/>
      <w:r w:rsidRPr="007E4FCB">
        <w:t xml:space="preserve"> może nastąpić tylko wówczas, gdy niezgodność treści oferty z treścią specyfikacji istotnych warunków zamówienia jest niewątpliwa. Zamawiający nie może wywodzić negatywnych dla wykonawcy skutków prawnych w postaci odrzucenia jego oferty na podstawie art. 226 ust. 1 pkt 5 ustawy </w:t>
      </w:r>
      <w:proofErr w:type="spellStart"/>
      <w:r w:rsidRPr="007E4FCB">
        <w:t>Pzp</w:t>
      </w:r>
      <w:proofErr w:type="spellEnd"/>
      <w:r w:rsidRPr="007E4FCB">
        <w:t>, jeżeli SWZ nie zawierała wyraźnych i jednoznacznych wymagań dotyczących treści oferty</w:t>
      </w:r>
      <w:r w:rsidR="00390633">
        <w:t>.</w:t>
      </w:r>
    </w:p>
    <w:p w14:paraId="34E07FC1" w14:textId="77777777" w:rsidR="00FF2D2B" w:rsidRPr="007E4FCB" w:rsidRDefault="00FF2D2B" w:rsidP="007E4FCB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  <w:r w:rsidRPr="007E4FCB">
        <w:t xml:space="preserve">2 Punktacja przyznana ofertom w każdym kryterium oceny ofert oraz łączna punktacja: </w:t>
      </w:r>
    </w:p>
    <w:tbl>
      <w:tblPr>
        <w:tblStyle w:val="Tabela-Siatka1"/>
        <w:tblW w:w="5020" w:type="pct"/>
        <w:tblLook w:val="04A0" w:firstRow="1" w:lastRow="0" w:firstColumn="1" w:lastColumn="0" w:noHBand="0" w:noVBand="1"/>
      </w:tblPr>
      <w:tblGrid>
        <w:gridCol w:w="931"/>
        <w:gridCol w:w="1987"/>
        <w:gridCol w:w="1440"/>
        <w:gridCol w:w="1206"/>
        <w:gridCol w:w="1408"/>
        <w:gridCol w:w="1206"/>
        <w:gridCol w:w="1231"/>
      </w:tblGrid>
      <w:tr w:rsidR="007E4FCB" w:rsidRPr="007E4FCB" w14:paraId="20CA5BC0" w14:textId="77777777" w:rsidTr="00AA494A">
        <w:trPr>
          <w:trHeight w:val="874"/>
        </w:trPr>
        <w:tc>
          <w:tcPr>
            <w:tcW w:w="495" w:type="pct"/>
          </w:tcPr>
          <w:p w14:paraId="6773248A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924EE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056" w:type="pct"/>
          </w:tcPr>
          <w:p w14:paraId="474D9FF1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Nazwa </w:t>
            </w:r>
          </w:p>
        </w:tc>
        <w:tc>
          <w:tcPr>
            <w:tcW w:w="765" w:type="pct"/>
          </w:tcPr>
          <w:p w14:paraId="07FDCA47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Cena </w:t>
            </w:r>
          </w:p>
        </w:tc>
        <w:tc>
          <w:tcPr>
            <w:tcW w:w="641" w:type="pct"/>
          </w:tcPr>
          <w:p w14:paraId="2E45C496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Punkty </w:t>
            </w:r>
          </w:p>
        </w:tc>
        <w:tc>
          <w:tcPr>
            <w:tcW w:w="748" w:type="pct"/>
          </w:tcPr>
          <w:p w14:paraId="45936A36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Gwarancja </w:t>
            </w:r>
          </w:p>
        </w:tc>
        <w:tc>
          <w:tcPr>
            <w:tcW w:w="641" w:type="pct"/>
          </w:tcPr>
          <w:p w14:paraId="435E6A8A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Punkty </w:t>
            </w:r>
          </w:p>
        </w:tc>
        <w:tc>
          <w:tcPr>
            <w:tcW w:w="654" w:type="pct"/>
          </w:tcPr>
          <w:p w14:paraId="182A1091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Łącznie punkty </w:t>
            </w:r>
          </w:p>
        </w:tc>
      </w:tr>
      <w:tr w:rsidR="007E4FCB" w:rsidRPr="007E4FCB" w14:paraId="1523A5B6" w14:textId="77777777" w:rsidTr="00AA494A">
        <w:trPr>
          <w:trHeight w:val="1763"/>
        </w:trPr>
        <w:tc>
          <w:tcPr>
            <w:tcW w:w="495" w:type="pct"/>
          </w:tcPr>
          <w:p w14:paraId="0E2E9CC2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1</w:t>
            </w:r>
          </w:p>
        </w:tc>
        <w:tc>
          <w:tcPr>
            <w:tcW w:w="1056" w:type="pct"/>
          </w:tcPr>
          <w:p w14:paraId="2D40874F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  <w:r w:rsidRPr="004924EE">
              <w:rPr>
                <w:rFonts w:ascii="Times New Roman" w:hAnsi="Times New Roman"/>
                <w:lang w:eastAsia="pl-PL"/>
              </w:rPr>
              <w:t>ALLTECH S.J ZDZISŁAW PAJĄK, ARTUR PAJĄK</w:t>
            </w:r>
          </w:p>
          <w:p w14:paraId="1F93AA75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</w:tcPr>
          <w:p w14:paraId="7EFF0C4A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227.301,54 zł</w:t>
            </w:r>
          </w:p>
        </w:tc>
        <w:tc>
          <w:tcPr>
            <w:tcW w:w="641" w:type="pct"/>
          </w:tcPr>
          <w:p w14:paraId="19875F28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51,35</w:t>
            </w:r>
          </w:p>
        </w:tc>
        <w:tc>
          <w:tcPr>
            <w:tcW w:w="748" w:type="pct"/>
          </w:tcPr>
          <w:p w14:paraId="795A4723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24 </w:t>
            </w:r>
            <w:proofErr w:type="spellStart"/>
            <w:r w:rsidRPr="004924EE">
              <w:rPr>
                <w:rFonts w:ascii="Times New Roman" w:hAnsi="Times New Roman"/>
              </w:rPr>
              <w:t>mce</w:t>
            </w:r>
            <w:proofErr w:type="spellEnd"/>
            <w:r w:rsidRPr="004924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1" w:type="pct"/>
          </w:tcPr>
          <w:p w14:paraId="1768001B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40</w:t>
            </w:r>
          </w:p>
        </w:tc>
        <w:tc>
          <w:tcPr>
            <w:tcW w:w="654" w:type="pct"/>
          </w:tcPr>
          <w:p w14:paraId="0BD8BEFD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91,35</w:t>
            </w:r>
          </w:p>
        </w:tc>
      </w:tr>
      <w:tr w:rsidR="007E4FCB" w:rsidRPr="007E4FCB" w14:paraId="6C288C91" w14:textId="77777777" w:rsidTr="00AA494A">
        <w:trPr>
          <w:trHeight w:val="1262"/>
        </w:trPr>
        <w:tc>
          <w:tcPr>
            <w:tcW w:w="495" w:type="pct"/>
          </w:tcPr>
          <w:p w14:paraId="1398FAA1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2</w:t>
            </w:r>
          </w:p>
        </w:tc>
        <w:tc>
          <w:tcPr>
            <w:tcW w:w="1056" w:type="pct"/>
          </w:tcPr>
          <w:p w14:paraId="6ED3BF36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  <w:sz w:val="23"/>
                <w:szCs w:val="23"/>
                <w:lang w:val="x-none" w:eastAsia="pl-PL"/>
              </w:rPr>
              <w:t xml:space="preserve">CEZAR Cezary </w:t>
            </w:r>
            <w:proofErr w:type="spellStart"/>
            <w:r w:rsidRPr="004924EE">
              <w:rPr>
                <w:rFonts w:ascii="Times New Roman" w:hAnsi="Times New Roman"/>
                <w:sz w:val="23"/>
                <w:szCs w:val="23"/>
                <w:lang w:val="x-none" w:eastAsia="pl-PL"/>
              </w:rPr>
              <w:t>Machnio</w:t>
            </w:r>
            <w:proofErr w:type="spellEnd"/>
            <w:r w:rsidRPr="004924EE">
              <w:rPr>
                <w:rFonts w:ascii="Times New Roman" w:hAnsi="Times New Roman"/>
                <w:sz w:val="23"/>
                <w:szCs w:val="23"/>
                <w:lang w:val="x-none" w:eastAsia="pl-PL"/>
              </w:rPr>
              <w:t xml:space="preserve"> i Piotr Gębka Sp. z o.o.</w:t>
            </w:r>
          </w:p>
        </w:tc>
        <w:tc>
          <w:tcPr>
            <w:tcW w:w="765" w:type="pct"/>
          </w:tcPr>
          <w:p w14:paraId="4C5B7AD2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194.525,00 zł </w:t>
            </w:r>
          </w:p>
        </w:tc>
        <w:tc>
          <w:tcPr>
            <w:tcW w:w="641" w:type="pct"/>
          </w:tcPr>
          <w:p w14:paraId="6C839C09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60</w:t>
            </w:r>
          </w:p>
        </w:tc>
        <w:tc>
          <w:tcPr>
            <w:tcW w:w="748" w:type="pct"/>
          </w:tcPr>
          <w:p w14:paraId="1005E5A1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24 </w:t>
            </w:r>
            <w:proofErr w:type="spellStart"/>
            <w:r w:rsidRPr="004924EE">
              <w:rPr>
                <w:rFonts w:ascii="Times New Roman" w:hAnsi="Times New Roman"/>
              </w:rPr>
              <w:t>mce</w:t>
            </w:r>
            <w:proofErr w:type="spellEnd"/>
            <w:r w:rsidRPr="004924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1" w:type="pct"/>
          </w:tcPr>
          <w:p w14:paraId="4D471BBE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40</w:t>
            </w:r>
          </w:p>
        </w:tc>
        <w:tc>
          <w:tcPr>
            <w:tcW w:w="654" w:type="pct"/>
          </w:tcPr>
          <w:p w14:paraId="3C002216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100</w:t>
            </w:r>
          </w:p>
        </w:tc>
      </w:tr>
      <w:tr w:rsidR="007E4FCB" w:rsidRPr="007E4FCB" w14:paraId="72EAFD87" w14:textId="77777777" w:rsidTr="00AA494A">
        <w:trPr>
          <w:trHeight w:val="868"/>
        </w:trPr>
        <w:tc>
          <w:tcPr>
            <w:tcW w:w="495" w:type="pct"/>
          </w:tcPr>
          <w:p w14:paraId="6AA58A10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3</w:t>
            </w:r>
          </w:p>
        </w:tc>
        <w:tc>
          <w:tcPr>
            <w:tcW w:w="1056" w:type="pct"/>
          </w:tcPr>
          <w:p w14:paraId="6BAE7D86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13p Sp. z o.o.</w:t>
            </w:r>
          </w:p>
        </w:tc>
        <w:tc>
          <w:tcPr>
            <w:tcW w:w="765" w:type="pct"/>
          </w:tcPr>
          <w:p w14:paraId="2012653C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231.804,17 zł</w:t>
            </w:r>
          </w:p>
        </w:tc>
        <w:tc>
          <w:tcPr>
            <w:tcW w:w="641" w:type="pct"/>
          </w:tcPr>
          <w:p w14:paraId="7CC26378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50,35</w:t>
            </w:r>
          </w:p>
        </w:tc>
        <w:tc>
          <w:tcPr>
            <w:tcW w:w="748" w:type="pct"/>
          </w:tcPr>
          <w:p w14:paraId="486EE708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24 </w:t>
            </w:r>
            <w:proofErr w:type="spellStart"/>
            <w:r w:rsidRPr="004924EE">
              <w:rPr>
                <w:rFonts w:ascii="Times New Roman" w:hAnsi="Times New Roman"/>
              </w:rPr>
              <w:t>mce</w:t>
            </w:r>
            <w:proofErr w:type="spellEnd"/>
            <w:r w:rsidRPr="004924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1" w:type="pct"/>
          </w:tcPr>
          <w:p w14:paraId="61A2023C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40</w:t>
            </w:r>
          </w:p>
        </w:tc>
        <w:tc>
          <w:tcPr>
            <w:tcW w:w="654" w:type="pct"/>
          </w:tcPr>
          <w:p w14:paraId="1F3C99F5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90,35</w:t>
            </w:r>
          </w:p>
        </w:tc>
      </w:tr>
      <w:tr w:rsidR="007E4FCB" w:rsidRPr="007E4FCB" w14:paraId="38B8E209" w14:textId="77777777" w:rsidTr="00AA494A">
        <w:trPr>
          <w:trHeight w:val="1315"/>
        </w:trPr>
        <w:tc>
          <w:tcPr>
            <w:tcW w:w="495" w:type="pct"/>
          </w:tcPr>
          <w:p w14:paraId="3C0D26B8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4</w:t>
            </w:r>
          </w:p>
        </w:tc>
        <w:tc>
          <w:tcPr>
            <w:tcW w:w="1056" w:type="pct"/>
          </w:tcPr>
          <w:p w14:paraId="5F93324A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Ogólnopolska Grupa IT Danuta Walczak</w:t>
            </w:r>
          </w:p>
        </w:tc>
        <w:tc>
          <w:tcPr>
            <w:tcW w:w="765" w:type="pct"/>
          </w:tcPr>
          <w:p w14:paraId="2CFD2BBB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204.892,17 zł </w:t>
            </w:r>
          </w:p>
        </w:tc>
        <w:tc>
          <w:tcPr>
            <w:tcW w:w="641" w:type="pct"/>
          </w:tcPr>
          <w:p w14:paraId="07837F87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56,96</w:t>
            </w:r>
          </w:p>
        </w:tc>
        <w:tc>
          <w:tcPr>
            <w:tcW w:w="748" w:type="pct"/>
          </w:tcPr>
          <w:p w14:paraId="5AC0024F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24 </w:t>
            </w:r>
            <w:proofErr w:type="spellStart"/>
            <w:r w:rsidRPr="004924EE">
              <w:rPr>
                <w:rFonts w:ascii="Times New Roman" w:hAnsi="Times New Roman"/>
              </w:rPr>
              <w:t>mce</w:t>
            </w:r>
            <w:proofErr w:type="spellEnd"/>
            <w:r w:rsidRPr="004924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1" w:type="pct"/>
          </w:tcPr>
          <w:p w14:paraId="1325673F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40</w:t>
            </w:r>
          </w:p>
        </w:tc>
        <w:tc>
          <w:tcPr>
            <w:tcW w:w="654" w:type="pct"/>
          </w:tcPr>
          <w:p w14:paraId="1CF6877F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96,96</w:t>
            </w:r>
          </w:p>
        </w:tc>
      </w:tr>
      <w:tr w:rsidR="007E4FCB" w:rsidRPr="007E4FCB" w14:paraId="663C8F09" w14:textId="77777777" w:rsidTr="00AA494A">
        <w:trPr>
          <w:trHeight w:val="733"/>
        </w:trPr>
        <w:tc>
          <w:tcPr>
            <w:tcW w:w="495" w:type="pct"/>
            <w:vMerge w:val="restart"/>
          </w:tcPr>
          <w:p w14:paraId="27C45760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5</w:t>
            </w:r>
          </w:p>
        </w:tc>
        <w:tc>
          <w:tcPr>
            <w:tcW w:w="1056" w:type="pct"/>
            <w:vMerge w:val="restart"/>
          </w:tcPr>
          <w:p w14:paraId="3258CB21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  <w:sz w:val="23"/>
                <w:szCs w:val="23"/>
                <w:lang w:val="x-none" w:eastAsia="pl-PL"/>
              </w:rPr>
              <w:t>Przedsiębiorstwo Optimus Sp. z o.o.</w:t>
            </w:r>
          </w:p>
        </w:tc>
        <w:tc>
          <w:tcPr>
            <w:tcW w:w="765" w:type="pct"/>
          </w:tcPr>
          <w:p w14:paraId="13756EE2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197.262,48 zł </w:t>
            </w:r>
          </w:p>
        </w:tc>
        <w:tc>
          <w:tcPr>
            <w:tcW w:w="641" w:type="pct"/>
          </w:tcPr>
          <w:p w14:paraId="1B2B88EE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59,17</w:t>
            </w:r>
          </w:p>
        </w:tc>
        <w:tc>
          <w:tcPr>
            <w:tcW w:w="748" w:type="pct"/>
          </w:tcPr>
          <w:p w14:paraId="7030C81B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24 </w:t>
            </w:r>
            <w:proofErr w:type="spellStart"/>
            <w:r w:rsidRPr="004924EE">
              <w:rPr>
                <w:rFonts w:ascii="Times New Roman" w:hAnsi="Times New Roman"/>
              </w:rPr>
              <w:t>mce</w:t>
            </w:r>
            <w:proofErr w:type="spellEnd"/>
            <w:r w:rsidRPr="004924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1" w:type="pct"/>
          </w:tcPr>
          <w:p w14:paraId="1A79B61D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40</w:t>
            </w:r>
          </w:p>
        </w:tc>
        <w:tc>
          <w:tcPr>
            <w:tcW w:w="654" w:type="pct"/>
          </w:tcPr>
          <w:p w14:paraId="4A4C2537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99,17</w:t>
            </w:r>
          </w:p>
        </w:tc>
      </w:tr>
      <w:tr w:rsidR="007E4FCB" w:rsidRPr="007E4FCB" w14:paraId="714CA92C" w14:textId="77777777" w:rsidTr="00AA494A">
        <w:trPr>
          <w:trHeight w:val="529"/>
        </w:trPr>
        <w:tc>
          <w:tcPr>
            <w:tcW w:w="495" w:type="pct"/>
            <w:vMerge/>
          </w:tcPr>
          <w:p w14:paraId="2C2D13AC" w14:textId="77777777" w:rsidR="004924EE" w:rsidRPr="007E4FCB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  <w:vMerge/>
          </w:tcPr>
          <w:p w14:paraId="58588453" w14:textId="77777777" w:rsidR="004924EE" w:rsidRPr="007E4FCB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3"/>
                <w:szCs w:val="23"/>
                <w:lang w:val="x-none" w:eastAsia="pl-PL"/>
              </w:rPr>
            </w:pPr>
          </w:p>
        </w:tc>
        <w:tc>
          <w:tcPr>
            <w:tcW w:w="3449" w:type="pct"/>
            <w:gridSpan w:val="5"/>
          </w:tcPr>
          <w:p w14:paraId="6821BC96" w14:textId="08702C91" w:rsidR="004924EE" w:rsidRPr="007E4FCB" w:rsidRDefault="004924EE" w:rsidP="007E4FCB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7E4FCB">
              <w:rPr>
                <w:rFonts w:ascii="Times New Roman" w:hAnsi="Times New Roman"/>
              </w:rPr>
              <w:t xml:space="preserve">Oferta odrzucona na podstawie </w:t>
            </w:r>
            <w:r w:rsidR="00AA494A" w:rsidRPr="007E4FCB">
              <w:rPr>
                <w:rFonts w:ascii="Times New Roman" w:hAnsi="Times New Roman"/>
              </w:rPr>
              <w:t xml:space="preserve">art. 226 ust 1 pkt 5 </w:t>
            </w:r>
            <w:proofErr w:type="spellStart"/>
            <w:r w:rsidR="00AA494A" w:rsidRPr="007E4FCB">
              <w:rPr>
                <w:rFonts w:ascii="Times New Roman" w:hAnsi="Times New Roman"/>
              </w:rPr>
              <w:t>pzp</w:t>
            </w:r>
            <w:proofErr w:type="spellEnd"/>
            <w:r w:rsidR="00AA494A" w:rsidRPr="007E4FCB">
              <w:rPr>
                <w:rFonts w:ascii="Times New Roman" w:hAnsi="Times New Roman"/>
              </w:rPr>
              <w:t xml:space="preserve"> (niezgodność oferty z warunkami zamówienia)</w:t>
            </w:r>
          </w:p>
        </w:tc>
      </w:tr>
    </w:tbl>
    <w:p w14:paraId="6A9CDD14" w14:textId="2CF393AB" w:rsidR="00AA494A" w:rsidRPr="007E4FCB" w:rsidRDefault="00390633" w:rsidP="00390633">
      <w:pPr>
        <w:keepNext/>
        <w:keepLines/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sz w:val="22"/>
          <w:szCs w:val="22"/>
          <w:lang w:eastAsia="zh-CN"/>
        </w:rPr>
      </w:pPr>
      <w:r>
        <w:rPr>
          <w:b/>
        </w:rPr>
        <w:t xml:space="preserve">                                                                       </w:t>
      </w:r>
      <w:r w:rsidR="00AA494A" w:rsidRPr="007E4FCB">
        <w:rPr>
          <w:b/>
        </w:rPr>
        <w:t>DYREKTOR</w:t>
      </w:r>
    </w:p>
    <w:p w14:paraId="1EDA4194" w14:textId="77777777" w:rsidR="00AA494A" w:rsidRPr="007E4FCB" w:rsidRDefault="00AA494A" w:rsidP="007E4FCB">
      <w:pPr>
        <w:keepNext/>
        <w:keepLines/>
        <w:spacing w:after="160" w:line="360" w:lineRule="auto"/>
        <w:ind w:left="4678"/>
        <w:jc w:val="center"/>
        <w:rPr>
          <w:lang w:val="x-none" w:eastAsia="x-none"/>
        </w:rPr>
      </w:pPr>
      <w:r w:rsidRPr="007E4FCB">
        <w:rPr>
          <w:lang w:val="x-none" w:eastAsia="x-none"/>
        </w:rPr>
        <w:t>Centrum Kształcenia Zawodowego i Ustawicznego w Łodzi</w:t>
      </w:r>
    </w:p>
    <w:p w14:paraId="3612812A" w14:textId="77777777" w:rsidR="00AA494A" w:rsidRPr="007E4FCB" w:rsidRDefault="00AA494A" w:rsidP="007E4FCB">
      <w:pPr>
        <w:keepNext/>
        <w:keepLines/>
        <w:spacing w:after="160" w:line="360" w:lineRule="auto"/>
        <w:ind w:left="4678"/>
        <w:jc w:val="center"/>
        <w:rPr>
          <w:lang w:eastAsia="x-none"/>
        </w:rPr>
      </w:pPr>
      <w:r w:rsidRPr="007E4FCB">
        <w:rPr>
          <w:lang w:eastAsia="x-none"/>
        </w:rPr>
        <w:t>Dominika Walicka</w:t>
      </w:r>
    </w:p>
    <w:p w14:paraId="416754B4" w14:textId="5E246720" w:rsidR="00156211" w:rsidRPr="007E4FCB" w:rsidRDefault="00156211" w:rsidP="007E4FCB">
      <w:pPr>
        <w:keepNext/>
        <w:keepLines/>
        <w:spacing w:after="160" w:line="360" w:lineRule="auto"/>
        <w:ind w:left="4678"/>
        <w:jc w:val="center"/>
        <w:rPr>
          <w:lang w:eastAsia="x-none"/>
        </w:rPr>
      </w:pPr>
    </w:p>
    <w:bookmarkEnd w:id="1"/>
    <w:p w14:paraId="50221FE8" w14:textId="77777777" w:rsidR="00F62DD4" w:rsidRPr="007E4FCB" w:rsidRDefault="00F62DD4" w:rsidP="007E4FCB">
      <w:pPr>
        <w:keepNext/>
        <w:keepLines/>
        <w:adjustRightInd w:val="0"/>
        <w:spacing w:line="360" w:lineRule="auto"/>
        <w:jc w:val="both"/>
        <w:rPr>
          <w:rFonts w:eastAsia="Calibri"/>
        </w:rPr>
      </w:pPr>
    </w:p>
    <w:sectPr w:rsidR="00F62DD4" w:rsidRPr="007E4FCB">
      <w:headerReference w:type="default" r:id="rId9"/>
      <w:footerReference w:type="default" r:id="rId10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0228F" w14:textId="77777777" w:rsidR="00431A3B" w:rsidRDefault="00431A3B">
      <w:r>
        <w:separator/>
      </w:r>
    </w:p>
  </w:endnote>
  <w:endnote w:type="continuationSeparator" w:id="0">
    <w:p w14:paraId="7B38DD9F" w14:textId="77777777" w:rsidR="00431A3B" w:rsidRDefault="0043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34E44" w14:textId="1A2CC429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0C85">
      <w:rPr>
        <w:noProof/>
      </w:rPr>
      <w:t>8</w:t>
    </w:r>
    <w:r>
      <w:fldChar w:fldCharType="end"/>
    </w:r>
  </w:p>
  <w:p w14:paraId="212E371C" w14:textId="3A01F543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9BEAC" w14:textId="77777777" w:rsidR="00431A3B" w:rsidRDefault="00431A3B">
      <w:r>
        <w:separator/>
      </w:r>
    </w:p>
  </w:footnote>
  <w:footnote w:type="continuationSeparator" w:id="0">
    <w:p w14:paraId="6DFF57BA" w14:textId="77777777" w:rsidR="00431A3B" w:rsidRDefault="0043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92BB" w14:textId="77777777" w:rsidR="006B2A74" w:rsidRPr="0024083A" w:rsidRDefault="006B2A74" w:rsidP="006B2A74">
    <w:pPr>
      <w:keepNext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  <w:lang w:eastAsia="pl-PL"/>
      </w:rPr>
      <w:drawing>
        <wp:inline distT="0" distB="0" distL="0" distR="0" wp14:anchorId="2BE08E51" wp14:editId="497FF9EF">
          <wp:extent cx="5760720" cy="1036320"/>
          <wp:effectExtent l="0" t="0" r="0" b="0"/>
          <wp:docPr id="10" name="Obraz 10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3D073" w14:textId="26FCC241" w:rsidR="006B2A74" w:rsidRPr="00AD7237" w:rsidRDefault="006B2A74" w:rsidP="006B2A74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BA0287">
      <w:rPr>
        <w:rFonts w:cs="Calibri"/>
        <w:sz w:val="18"/>
        <w:szCs w:val="18"/>
      </w:rPr>
      <w:t>Wyższe kwalifikacje – większe możliwości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2536F67A" w14:textId="77777777" w:rsidR="006B2A74" w:rsidRDefault="006B2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3" w15:restartNumberingAfterBreak="0">
    <w:nsid w:val="1496035B"/>
    <w:multiLevelType w:val="hybridMultilevel"/>
    <w:tmpl w:val="08A29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4A87"/>
    <w:multiLevelType w:val="hybridMultilevel"/>
    <w:tmpl w:val="08A2992A"/>
    <w:lvl w:ilvl="0" w:tplc="8CC83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7BA1"/>
    <w:multiLevelType w:val="hybridMultilevel"/>
    <w:tmpl w:val="08A29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60F3"/>
    <w:multiLevelType w:val="hybridMultilevel"/>
    <w:tmpl w:val="4B4CF61C"/>
    <w:lvl w:ilvl="0" w:tplc="1B7E34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0" w15:restartNumberingAfterBreak="0">
    <w:nsid w:val="46EA47CF"/>
    <w:multiLevelType w:val="hybridMultilevel"/>
    <w:tmpl w:val="7DA0EE84"/>
    <w:lvl w:ilvl="0" w:tplc="7A4AFB84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7774C"/>
    <w:multiLevelType w:val="hybridMultilevel"/>
    <w:tmpl w:val="19682894"/>
    <w:lvl w:ilvl="0" w:tplc="25F2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85"/>
    <w:rsid w:val="00083D88"/>
    <w:rsid w:val="000A682F"/>
    <w:rsid w:val="000A7B80"/>
    <w:rsid w:val="000B2C2A"/>
    <w:rsid w:val="00117577"/>
    <w:rsid w:val="001371BA"/>
    <w:rsid w:val="00151640"/>
    <w:rsid w:val="00156211"/>
    <w:rsid w:val="001716D3"/>
    <w:rsid w:val="00172730"/>
    <w:rsid w:val="00176D5A"/>
    <w:rsid w:val="001918FD"/>
    <w:rsid w:val="001932FB"/>
    <w:rsid w:val="001C7EB0"/>
    <w:rsid w:val="001D5162"/>
    <w:rsid w:val="00200CDE"/>
    <w:rsid w:val="00235340"/>
    <w:rsid w:val="00241B83"/>
    <w:rsid w:val="002552B6"/>
    <w:rsid w:val="00256439"/>
    <w:rsid w:val="00271B23"/>
    <w:rsid w:val="00294D39"/>
    <w:rsid w:val="002A55DF"/>
    <w:rsid w:val="002C021B"/>
    <w:rsid w:val="002E57CF"/>
    <w:rsid w:val="002F79EE"/>
    <w:rsid w:val="00314F52"/>
    <w:rsid w:val="00320C85"/>
    <w:rsid w:val="00377066"/>
    <w:rsid w:val="00390633"/>
    <w:rsid w:val="003C3252"/>
    <w:rsid w:val="003C59FC"/>
    <w:rsid w:val="003D02BB"/>
    <w:rsid w:val="003E3EC4"/>
    <w:rsid w:val="003F3BFC"/>
    <w:rsid w:val="00404E32"/>
    <w:rsid w:val="00416D8D"/>
    <w:rsid w:val="00431A3B"/>
    <w:rsid w:val="00474715"/>
    <w:rsid w:val="004759F1"/>
    <w:rsid w:val="004924EE"/>
    <w:rsid w:val="004A267D"/>
    <w:rsid w:val="004E769E"/>
    <w:rsid w:val="004F2579"/>
    <w:rsid w:val="00513E15"/>
    <w:rsid w:val="00544E25"/>
    <w:rsid w:val="00550543"/>
    <w:rsid w:val="00557C47"/>
    <w:rsid w:val="0056596E"/>
    <w:rsid w:val="005929A5"/>
    <w:rsid w:val="005A35E2"/>
    <w:rsid w:val="005B0EF1"/>
    <w:rsid w:val="005E55F0"/>
    <w:rsid w:val="0060635B"/>
    <w:rsid w:val="006201BB"/>
    <w:rsid w:val="0064265A"/>
    <w:rsid w:val="00651831"/>
    <w:rsid w:val="0065186E"/>
    <w:rsid w:val="00685F05"/>
    <w:rsid w:val="006B2A74"/>
    <w:rsid w:val="006C1A58"/>
    <w:rsid w:val="006C748E"/>
    <w:rsid w:val="006D0B2B"/>
    <w:rsid w:val="006E67C3"/>
    <w:rsid w:val="00726BC5"/>
    <w:rsid w:val="00743092"/>
    <w:rsid w:val="0078374C"/>
    <w:rsid w:val="007A556A"/>
    <w:rsid w:val="007E4FCB"/>
    <w:rsid w:val="00827430"/>
    <w:rsid w:val="00831CA3"/>
    <w:rsid w:val="00832CB5"/>
    <w:rsid w:val="00875933"/>
    <w:rsid w:val="008B2D45"/>
    <w:rsid w:val="008B6039"/>
    <w:rsid w:val="008C6CAA"/>
    <w:rsid w:val="008D4DA3"/>
    <w:rsid w:val="009153AC"/>
    <w:rsid w:val="0092206F"/>
    <w:rsid w:val="009411B8"/>
    <w:rsid w:val="00996290"/>
    <w:rsid w:val="00997C4F"/>
    <w:rsid w:val="009B7557"/>
    <w:rsid w:val="009D1069"/>
    <w:rsid w:val="00A20EAE"/>
    <w:rsid w:val="00A23BA8"/>
    <w:rsid w:val="00A2580F"/>
    <w:rsid w:val="00A902EC"/>
    <w:rsid w:val="00AA3217"/>
    <w:rsid w:val="00AA494A"/>
    <w:rsid w:val="00AC39F1"/>
    <w:rsid w:val="00AC67AB"/>
    <w:rsid w:val="00B032E8"/>
    <w:rsid w:val="00B64780"/>
    <w:rsid w:val="00BA0287"/>
    <w:rsid w:val="00BB2B5A"/>
    <w:rsid w:val="00BE6A6A"/>
    <w:rsid w:val="00C11181"/>
    <w:rsid w:val="00C44907"/>
    <w:rsid w:val="00C60255"/>
    <w:rsid w:val="00C644F8"/>
    <w:rsid w:val="00C82375"/>
    <w:rsid w:val="00C96A85"/>
    <w:rsid w:val="00CA40B3"/>
    <w:rsid w:val="00CC2788"/>
    <w:rsid w:val="00CD6267"/>
    <w:rsid w:val="00CE4D81"/>
    <w:rsid w:val="00CE60A1"/>
    <w:rsid w:val="00CF08B3"/>
    <w:rsid w:val="00D53BA8"/>
    <w:rsid w:val="00D87BB4"/>
    <w:rsid w:val="00DB1219"/>
    <w:rsid w:val="00DC791C"/>
    <w:rsid w:val="00DD4726"/>
    <w:rsid w:val="00DE59DE"/>
    <w:rsid w:val="00E21B24"/>
    <w:rsid w:val="00E32A4A"/>
    <w:rsid w:val="00E34AA9"/>
    <w:rsid w:val="00E460D8"/>
    <w:rsid w:val="00E60D25"/>
    <w:rsid w:val="00E65F81"/>
    <w:rsid w:val="00ED4F92"/>
    <w:rsid w:val="00EF249C"/>
    <w:rsid w:val="00F04722"/>
    <w:rsid w:val="00F0615C"/>
    <w:rsid w:val="00F06DE1"/>
    <w:rsid w:val="00F168E6"/>
    <w:rsid w:val="00F27DA7"/>
    <w:rsid w:val="00F56206"/>
    <w:rsid w:val="00F62DD4"/>
    <w:rsid w:val="00F92CB0"/>
    <w:rsid w:val="00F97F2F"/>
    <w:rsid w:val="00FB5980"/>
    <w:rsid w:val="00FC5684"/>
    <w:rsid w:val="00FD2AB7"/>
    <w:rsid w:val="00FD74A1"/>
    <w:rsid w:val="00FE1860"/>
    <w:rsid w:val="00FF2D2B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2F5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35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635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4924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A55DF"/>
    <w:rPr>
      <w:i/>
      <w:iCs/>
    </w:rPr>
  </w:style>
  <w:style w:type="character" w:styleId="Pogrubienie">
    <w:name w:val="Strong"/>
    <w:basedOn w:val="Domylnaczcionkaakapitu"/>
    <w:uiPriority w:val="22"/>
    <w:qFormat/>
    <w:rsid w:val="007E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sung.com/pl/smartphones/galaxy-s20/spe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9961-E791-4F28-AB07-BCADF4F7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1858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2022-09-23T12:14:00Z</dcterms:created>
  <dcterms:modified xsi:type="dcterms:W3CDTF">2022-09-23T12:19:00Z</dcterms:modified>
</cp:coreProperties>
</file>